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center"/>
        <w:rPr>
          <w:rFonts w:ascii="Tahoma" w:hAnsi="Tahoma"/>
          <w:sz w:val="28"/>
          <w:szCs w:val="28"/>
        </w:rPr>
      </w:pPr>
      <w:r>
        <w:rPr>
          <w:rFonts w:cs="Arial" w:ascii="Tahoma" w:hAnsi="Tahoma"/>
          <w:b/>
          <w:sz w:val="28"/>
          <w:szCs w:val="28"/>
        </w:rPr>
        <w:t>Návrh kupní smlouvy – obchodní podmínky</w:t>
      </w:r>
    </w:p>
    <w:p>
      <w:pPr>
        <w:pStyle w:val="NoSpacing"/>
        <w:jc w:val="both"/>
        <w:rPr>
          <w:rFonts w:ascii="Tahoma" w:hAnsi="Tahoma" w:cs="Arial"/>
          <w:b/>
          <w:sz w:val="40"/>
          <w:szCs w:val="40"/>
        </w:rPr>
      </w:pPr>
      <w:r>
        <w:rPr>
          <w:rFonts w:cs="Arial" w:ascii="Tahoma" w:hAnsi="Tahoma"/>
          <w:b/>
          <w:sz w:val="40"/>
          <w:szCs w:val="40"/>
        </w:rPr>
      </w:r>
    </w:p>
    <w:p>
      <w:pPr>
        <w:pStyle w:val="NoSpacing"/>
        <w:rPr>
          <w:rFonts w:ascii="Tahoma" w:hAnsi="Tahoma" w:cs="Arial"/>
          <w:b/>
          <w:sz w:val="24"/>
        </w:rPr>
      </w:pPr>
      <w:r>
        <w:rPr>
          <w:rFonts w:cs="Arial" w:ascii="Tahoma" w:hAnsi="Tahoma"/>
          <w:b/>
          <w:sz w:val="24"/>
        </w:rPr>
      </w:r>
    </w:p>
    <w:p>
      <w:pPr>
        <w:pStyle w:val="NoSpacing"/>
        <w:jc w:val="center"/>
        <w:rPr>
          <w:rFonts w:ascii="Tahoma" w:hAnsi="Tahoma"/>
          <w:sz w:val="22"/>
          <w:szCs w:val="22"/>
        </w:rPr>
      </w:pPr>
      <w:r>
        <w:rPr>
          <w:rFonts w:ascii="Tahoma" w:hAnsi="Tahoma"/>
          <w:b/>
          <w:sz w:val="22"/>
          <w:szCs w:val="22"/>
        </w:rPr>
        <w:t>čl. I.</w:t>
      </w:r>
    </w:p>
    <w:p>
      <w:pPr>
        <w:pStyle w:val="NoSpacing"/>
        <w:jc w:val="center"/>
        <w:rPr>
          <w:rFonts w:ascii="Tahoma" w:hAnsi="Tahoma"/>
          <w:b/>
          <w:sz w:val="22"/>
          <w:szCs w:val="22"/>
        </w:rPr>
      </w:pPr>
      <w:r>
        <w:rPr>
          <w:rFonts w:ascii="Tahoma" w:hAnsi="Tahoma"/>
          <w:b/>
          <w:sz w:val="22"/>
          <w:szCs w:val="22"/>
        </w:rPr>
        <w:t>Smluvní strany</w:t>
      </w:r>
    </w:p>
    <w:p>
      <w:pPr>
        <w:pStyle w:val="NoSpacing"/>
        <w:jc w:val="both"/>
        <w:rPr>
          <w:rFonts w:ascii="Tahoma" w:hAnsi="Tahoma"/>
          <w:sz w:val="18"/>
        </w:rPr>
      </w:pPr>
      <w:r>
        <w:rPr>
          <w:rFonts w:ascii="Tahoma" w:hAnsi="Tahoma"/>
          <w:sz w:val="18"/>
        </w:rPr>
      </w:r>
    </w:p>
    <w:p>
      <w:pPr>
        <w:pStyle w:val="NoSpacing"/>
        <w:numPr>
          <w:ilvl w:val="0"/>
          <w:numId w:val="13"/>
        </w:numPr>
        <w:jc w:val="both"/>
        <w:rPr>
          <w:rFonts w:ascii="Tahoma" w:hAnsi="Tahoma"/>
        </w:rPr>
      </w:pPr>
      <w:r>
        <w:rPr>
          <w:rFonts w:cs="Arial" w:ascii="Tahoma" w:hAnsi="Tahoma"/>
          <w:b/>
          <w:sz w:val="20"/>
        </w:rPr>
        <w:t>Střední umělecká škola, Ostrava, příspěvková organizace</w:t>
      </w:r>
    </w:p>
    <w:p>
      <w:pPr>
        <w:pStyle w:val="NoSpacing"/>
        <w:jc w:val="both"/>
        <w:rPr>
          <w:rFonts w:ascii="Tahoma" w:hAnsi="Tahoma"/>
        </w:rPr>
      </w:pPr>
      <w:r>
        <w:rPr>
          <w:rFonts w:ascii="Tahoma" w:hAnsi="Tahoma"/>
        </w:rPr>
        <w:t xml:space="preserve">se sídlem: </w:t>
        <w:tab/>
        <w:tab/>
        <w:tab/>
        <w:tab/>
        <w:t>Poděbradova 959/33, Moravská Ostrava, 70200 Ostrava</w:t>
      </w:r>
    </w:p>
    <w:p>
      <w:pPr>
        <w:pStyle w:val="NoSpacing"/>
        <w:jc w:val="both"/>
        <w:rPr>
          <w:rFonts w:ascii="Tahoma" w:hAnsi="Tahoma"/>
        </w:rPr>
      </w:pPr>
      <w:r>
        <w:rPr>
          <w:rFonts w:ascii="Tahoma" w:hAnsi="Tahoma"/>
        </w:rPr>
        <w:t>zastoupen:</w:t>
        <w:tab/>
        <w:tab/>
        <w:tab/>
        <w:tab/>
        <w:t>Mgr. Martin Mikolášek - ředitel</w:t>
      </w:r>
    </w:p>
    <w:p>
      <w:pPr>
        <w:pStyle w:val="NoSpacing"/>
        <w:jc w:val="both"/>
        <w:rPr>
          <w:rFonts w:ascii="Tahoma" w:hAnsi="Tahoma"/>
        </w:rPr>
      </w:pPr>
      <w:r>
        <w:rPr>
          <w:rFonts w:ascii="Tahoma" w:hAnsi="Tahoma"/>
        </w:rPr>
        <w:t>IČO:</w:t>
        <w:tab/>
        <w:tab/>
        <w:tab/>
        <w:tab/>
        <w:tab/>
        <w:t>00602051</w:t>
      </w:r>
    </w:p>
    <w:p>
      <w:pPr>
        <w:pStyle w:val="NoSpacing"/>
        <w:jc w:val="both"/>
        <w:rPr>
          <w:rFonts w:ascii="Tahoma" w:hAnsi="Tahoma"/>
        </w:rPr>
      </w:pPr>
      <w:r>
        <w:rPr>
          <w:rFonts w:ascii="Tahoma" w:hAnsi="Tahoma"/>
        </w:rPr>
        <w:t>DIČ:</w:t>
        <w:tab/>
        <w:tab/>
        <w:tab/>
        <w:tab/>
        <w:tab/>
      </w:r>
      <w:r>
        <w:rPr>
          <w:rFonts w:cs="Tahoma" w:ascii="Tahoma" w:hAnsi="Tahoma"/>
          <w:sz w:val="22"/>
          <w:szCs w:val="22"/>
        </w:rPr>
        <w:t>není plátcem DPH</w:t>
      </w:r>
    </w:p>
    <w:p>
      <w:pPr>
        <w:pStyle w:val="NoSpacing"/>
        <w:jc w:val="both"/>
        <w:rPr>
          <w:rFonts w:ascii="Tahoma" w:hAnsi="Tahoma"/>
        </w:rPr>
      </w:pPr>
      <w:r>
        <w:rPr>
          <w:rFonts w:ascii="Tahoma" w:hAnsi="Tahoma"/>
        </w:rPr>
      </w:r>
    </w:p>
    <w:p>
      <w:pPr>
        <w:pStyle w:val="NoSpacing"/>
        <w:jc w:val="both"/>
        <w:rPr>
          <w:rFonts w:ascii="Tahoma" w:hAnsi="Tahoma"/>
          <w:iCs/>
          <w:sz w:val="14"/>
        </w:rPr>
      </w:pPr>
      <w:r>
        <w:rPr>
          <w:rFonts w:ascii="Tahoma" w:hAnsi="Tahoma"/>
          <w:iCs/>
          <w:sz w:val="14"/>
        </w:rPr>
      </w:r>
    </w:p>
    <w:p>
      <w:pPr>
        <w:pStyle w:val="NoSpacing"/>
        <w:jc w:val="both"/>
        <w:rPr>
          <w:rFonts w:ascii="Tahoma" w:hAnsi="Tahoma"/>
        </w:rPr>
      </w:pPr>
      <w:r>
        <w:rPr>
          <w:rFonts w:cs="Arial" w:ascii="Tahoma" w:hAnsi="Tahoma"/>
          <w:b/>
          <w:iCs/>
          <w:sz w:val="20"/>
        </w:rPr>
        <w:t>(dále jen „objednatel“)</w:t>
      </w:r>
    </w:p>
    <w:p>
      <w:pPr>
        <w:pStyle w:val="NoSpacing"/>
        <w:jc w:val="both"/>
        <w:rPr>
          <w:rFonts w:ascii="Tahoma" w:hAnsi="Tahoma" w:cs="Arial"/>
          <w:b/>
          <w:i/>
        </w:rPr>
      </w:pPr>
      <w:r>
        <w:rPr>
          <w:rFonts w:cs="Arial" w:ascii="Tahoma" w:hAnsi="Tahoma"/>
          <w:b/>
          <w:i/>
        </w:rPr>
      </w:r>
    </w:p>
    <w:p>
      <w:pPr>
        <w:pStyle w:val="NoSpacing"/>
        <w:numPr>
          <w:ilvl w:val="0"/>
          <w:numId w:val="13"/>
        </w:numPr>
        <w:jc w:val="both"/>
        <w:rPr>
          <w:rFonts w:ascii="Tahoma" w:hAnsi="Tahoma"/>
        </w:rPr>
      </w:pPr>
      <w:r>
        <w:rPr>
          <w:rFonts w:cs="Arial" w:ascii="Tahoma" w:hAnsi="Tahoma"/>
          <w:b/>
          <w:sz w:val="20"/>
          <w:highlight w:val="yellow"/>
        </w:rPr>
        <w:t>………………………</w:t>
      </w:r>
      <w:r>
        <w:rPr>
          <w:rFonts w:cs="Arial" w:ascii="Tahoma" w:hAnsi="Tahoma"/>
          <w:b/>
          <w:sz w:val="20"/>
          <w:highlight w:val="yellow"/>
        </w:rPr>
        <w:t>.</w:t>
      </w:r>
      <w:r>
        <w:rPr>
          <w:rFonts w:cs="Arial" w:ascii="Tahoma" w:hAnsi="Tahoma"/>
          <w:b/>
          <w:sz w:val="20"/>
        </w:rPr>
        <w:t xml:space="preserve"> </w:t>
      </w:r>
      <w:r>
        <w:rPr>
          <w:rFonts w:cs="Arial" w:ascii="Tahoma" w:hAnsi="Tahoma"/>
          <w:b/>
          <w:i/>
          <w:sz w:val="20"/>
        </w:rPr>
        <w:t>(doplní dodavatel)</w:t>
      </w:r>
    </w:p>
    <w:p>
      <w:pPr>
        <w:pStyle w:val="NoSpacing"/>
        <w:jc w:val="both"/>
        <w:rPr>
          <w:rFonts w:ascii="Tahoma" w:hAnsi="Tahoma"/>
        </w:rPr>
      </w:pPr>
      <w:r>
        <w:rPr>
          <w:rFonts w:ascii="Tahoma" w:hAnsi="Tahoma"/>
        </w:rPr>
        <w:t>se sídlem:</w:t>
        <w:tab/>
        <w:tab/>
        <w:tab/>
        <w:tab/>
      </w:r>
      <w:r>
        <w:rPr>
          <w:rFonts w:ascii="Tahoma" w:hAnsi="Tahoma"/>
          <w:highlight w:val="yellow"/>
        </w:rPr>
        <w:t>………………………………</w:t>
      </w:r>
    </w:p>
    <w:p>
      <w:pPr>
        <w:pStyle w:val="NoSpacing"/>
        <w:jc w:val="both"/>
        <w:rPr>
          <w:rFonts w:ascii="Tahoma" w:hAnsi="Tahoma"/>
        </w:rPr>
      </w:pPr>
      <w:r>
        <w:rPr>
          <w:rFonts w:ascii="Tahoma" w:hAnsi="Tahoma"/>
        </w:rPr>
        <w:t>zastoupena:</w:t>
        <w:tab/>
        <w:tab/>
        <w:tab/>
        <w:tab/>
      </w:r>
      <w:r>
        <w:rPr>
          <w:rFonts w:ascii="Tahoma" w:hAnsi="Tahoma"/>
          <w:highlight w:val="yellow"/>
        </w:rPr>
        <w:t>………………………………</w:t>
      </w:r>
    </w:p>
    <w:p>
      <w:pPr>
        <w:pStyle w:val="NoSpacing"/>
        <w:jc w:val="both"/>
        <w:rPr>
          <w:rFonts w:ascii="Tahoma" w:hAnsi="Tahoma"/>
        </w:rPr>
      </w:pPr>
      <w:r>
        <w:rPr>
          <w:rFonts w:ascii="Tahoma" w:hAnsi="Tahoma"/>
        </w:rPr>
        <w:t>IČO:</w:t>
        <w:tab/>
        <w:tab/>
        <w:tab/>
        <w:tab/>
        <w:tab/>
      </w:r>
      <w:r>
        <w:rPr>
          <w:rFonts w:ascii="Tahoma" w:hAnsi="Tahoma"/>
          <w:highlight w:val="yellow"/>
        </w:rPr>
        <w:t>………………….</w:t>
      </w:r>
    </w:p>
    <w:p>
      <w:pPr>
        <w:pStyle w:val="NoSpacing"/>
        <w:jc w:val="both"/>
        <w:rPr>
          <w:rFonts w:ascii="Tahoma" w:hAnsi="Tahoma"/>
        </w:rPr>
      </w:pPr>
      <w:r>
        <w:rPr>
          <w:rFonts w:ascii="Tahoma" w:hAnsi="Tahoma"/>
        </w:rPr>
        <w:t>DIČ:</w:t>
        <w:tab/>
        <w:tab/>
        <w:tab/>
        <w:tab/>
        <w:tab/>
      </w:r>
      <w:r>
        <w:rPr>
          <w:rFonts w:ascii="Tahoma" w:hAnsi="Tahoma"/>
          <w:highlight w:val="yellow"/>
        </w:rPr>
        <w:t>CZ………………</w:t>
      </w:r>
    </w:p>
    <w:p>
      <w:pPr>
        <w:pStyle w:val="NoSpacing"/>
        <w:jc w:val="both"/>
        <w:rPr>
          <w:rFonts w:ascii="Tahoma" w:hAnsi="Tahoma"/>
        </w:rPr>
      </w:pPr>
      <w:r>
        <w:rPr>
          <w:rFonts w:ascii="Tahoma" w:hAnsi="Tahoma"/>
        </w:rPr>
        <w:t xml:space="preserve">společnost zapsaná v obchodním rejstříku vedeném </w:t>
      </w:r>
      <w:r>
        <w:rPr>
          <w:rFonts w:ascii="Tahoma" w:hAnsi="Tahoma"/>
          <w:highlight w:val="yellow"/>
        </w:rPr>
        <w:t>…………..</w:t>
      </w:r>
      <w:r>
        <w:rPr>
          <w:rFonts w:ascii="Tahoma" w:hAnsi="Tahoma"/>
        </w:rPr>
        <w:t xml:space="preserve"> v </w:t>
      </w:r>
      <w:r>
        <w:rPr>
          <w:rFonts w:ascii="Tahoma" w:hAnsi="Tahoma"/>
          <w:highlight w:val="yellow"/>
        </w:rPr>
        <w:t>…………..,</w:t>
      </w:r>
      <w:r>
        <w:rPr>
          <w:rFonts w:ascii="Tahoma" w:hAnsi="Tahoma"/>
        </w:rPr>
        <w:t xml:space="preserve"> oddíl </w:t>
      </w:r>
      <w:r>
        <w:rPr>
          <w:rFonts w:ascii="Tahoma" w:hAnsi="Tahoma"/>
          <w:highlight w:val="yellow"/>
        </w:rPr>
        <w:t>….,</w:t>
      </w:r>
      <w:r>
        <w:rPr>
          <w:rFonts w:ascii="Tahoma" w:hAnsi="Tahoma"/>
        </w:rPr>
        <w:t xml:space="preserve"> vložka </w:t>
      </w:r>
      <w:r>
        <w:rPr>
          <w:rFonts w:ascii="Tahoma" w:hAnsi="Tahoma"/>
          <w:highlight w:val="yellow"/>
        </w:rPr>
        <w:t>……….</w:t>
      </w:r>
    </w:p>
    <w:p>
      <w:pPr>
        <w:pStyle w:val="NoSpacing"/>
        <w:jc w:val="both"/>
        <w:rPr>
          <w:rFonts w:ascii="Tahoma" w:hAnsi="Tahoma"/>
        </w:rPr>
      </w:pPr>
      <w:r>
        <w:rPr>
          <w:rFonts w:ascii="Tahoma" w:hAnsi="Tahoma"/>
        </w:rPr>
        <w:t>bankovní spojení:</w:t>
        <w:tab/>
        <w:tab/>
        <w:tab/>
      </w:r>
      <w:r>
        <w:rPr>
          <w:rFonts w:ascii="Tahoma" w:hAnsi="Tahoma"/>
          <w:highlight w:val="yellow"/>
        </w:rPr>
        <w:t>………………………………</w:t>
      </w:r>
    </w:p>
    <w:p>
      <w:pPr>
        <w:pStyle w:val="NoSpacing"/>
        <w:jc w:val="both"/>
        <w:rPr>
          <w:rFonts w:ascii="Tahoma" w:hAnsi="Tahoma"/>
        </w:rPr>
      </w:pPr>
      <w:r>
        <w:rPr>
          <w:rFonts w:ascii="Tahoma" w:hAnsi="Tahoma"/>
        </w:rPr>
        <w:t>číslo účtu:</w:t>
        <w:tab/>
        <w:tab/>
        <w:tab/>
        <w:tab/>
      </w:r>
      <w:r>
        <w:rPr>
          <w:rFonts w:ascii="Tahoma" w:hAnsi="Tahoma"/>
          <w:highlight w:val="yellow"/>
        </w:rPr>
        <w:t>………………………………</w:t>
      </w:r>
    </w:p>
    <w:p>
      <w:pPr>
        <w:pStyle w:val="NoSpacing"/>
        <w:jc w:val="both"/>
        <w:rPr>
          <w:rFonts w:ascii="Tahoma" w:hAnsi="Tahoma"/>
        </w:rPr>
      </w:pPr>
      <w:r>
        <w:rPr>
          <w:rFonts w:ascii="Tahoma" w:hAnsi="Tahoma"/>
        </w:rPr>
        <w:t xml:space="preserve">osoba oprávněná jednat ve věcech technických a realizace stavby:  </w:t>
      </w:r>
      <w:r>
        <w:rPr>
          <w:rFonts w:ascii="Tahoma" w:hAnsi="Tahoma"/>
          <w:highlight w:val="yellow"/>
        </w:rPr>
        <w:t>…………………………..</w:t>
      </w:r>
    </w:p>
    <w:p>
      <w:pPr>
        <w:pStyle w:val="NoSpacing"/>
        <w:jc w:val="both"/>
        <w:rPr>
          <w:rFonts w:ascii="Tahoma" w:hAnsi="Tahoma"/>
        </w:rPr>
      </w:pPr>
      <w:r>
        <w:rPr>
          <w:rFonts w:ascii="Tahoma" w:hAnsi="Tahoma"/>
        </w:rPr>
        <w:t xml:space="preserve">Tel. / email:                                       </w:t>
      </w:r>
      <w:r>
        <w:rPr>
          <w:rFonts w:ascii="Tahoma" w:hAnsi="Tahoma"/>
          <w:highlight w:val="yellow"/>
        </w:rPr>
        <w:t>…………… / …………………</w:t>
      </w:r>
    </w:p>
    <w:p>
      <w:pPr>
        <w:pStyle w:val="NoSpacing"/>
        <w:jc w:val="both"/>
        <w:rPr>
          <w:rFonts w:ascii="Tahoma" w:hAnsi="Tahoma"/>
          <w:iCs/>
          <w:sz w:val="14"/>
        </w:rPr>
      </w:pPr>
      <w:r>
        <w:rPr>
          <w:rFonts w:ascii="Tahoma" w:hAnsi="Tahoma"/>
          <w:iCs/>
          <w:sz w:val="14"/>
        </w:rPr>
      </w:r>
    </w:p>
    <w:p>
      <w:pPr>
        <w:pStyle w:val="NoSpacing"/>
        <w:jc w:val="both"/>
        <w:rPr>
          <w:rFonts w:ascii="Tahoma" w:hAnsi="Tahoma"/>
        </w:rPr>
      </w:pPr>
      <w:r>
        <w:rPr>
          <w:rFonts w:cs="Arial" w:ascii="Tahoma" w:hAnsi="Tahoma"/>
          <w:b/>
          <w:iCs/>
          <w:sz w:val="20"/>
        </w:rPr>
        <w:t>(dále jen „dodavatel“)</w:t>
      </w:r>
    </w:p>
    <w:p>
      <w:pPr>
        <w:pStyle w:val="NoSpacing"/>
        <w:jc w:val="both"/>
        <w:rPr>
          <w:rFonts w:ascii="Tahoma" w:hAnsi="Tahoma" w:cs="Arial"/>
          <w:b/>
          <w:iCs/>
          <w:sz w:val="20"/>
        </w:rPr>
      </w:pPr>
      <w:r>
        <w:rPr>
          <w:rFonts w:cs="Arial" w:ascii="Tahoma" w:hAnsi="Tahoma"/>
          <w:b/>
          <w:iCs/>
          <w:sz w:val="20"/>
        </w:rPr>
      </w:r>
    </w:p>
    <w:p>
      <w:pPr>
        <w:pStyle w:val="NoSpacing"/>
        <w:jc w:val="both"/>
        <w:rPr>
          <w:rFonts w:ascii="Tahoma" w:hAnsi="Tahoma"/>
        </w:rPr>
      </w:pPr>
      <w:r>
        <w:rPr>
          <w:rFonts w:cs="Arial" w:ascii="Tahoma" w:hAnsi="Tahoma"/>
          <w:i/>
          <w:iCs/>
          <w:sz w:val="18"/>
          <w:szCs w:val="18"/>
        </w:rPr>
        <w:t>POZN.: Pokud je dodavatelem fyzická osoba, neuvede v odst. 2 sídlo a obchodní rejstřík, ale místo podnikání a zápis do jiné evidence, ve které je osoba zapsána.</w:t>
      </w:r>
    </w:p>
    <w:p>
      <w:pPr>
        <w:pStyle w:val="NoSpacing"/>
        <w:jc w:val="both"/>
        <w:rPr>
          <w:rFonts w:ascii="Tahoma" w:hAnsi="Tahoma"/>
        </w:rPr>
      </w:pPr>
      <w:r>
        <w:rPr>
          <w:rFonts w:ascii="Tahoma" w:hAnsi="Tahoma"/>
        </w:rPr>
      </w:r>
    </w:p>
    <w:p>
      <w:pPr>
        <w:pStyle w:val="NoSpacing"/>
        <w:jc w:val="both"/>
        <w:rPr>
          <w:rFonts w:ascii="Tahoma" w:hAnsi="Tahoma"/>
        </w:rPr>
      </w:pPr>
      <w:r>
        <w:rPr>
          <w:rFonts w:ascii="Tahoma" w:hAnsi="Tahoma"/>
        </w:rPr>
      </w:r>
    </w:p>
    <w:p>
      <w:pPr>
        <w:pStyle w:val="NoSpacing"/>
        <w:jc w:val="center"/>
        <w:rPr>
          <w:rFonts w:ascii="Tahoma" w:hAnsi="Tahoma"/>
          <w:sz w:val="22"/>
          <w:szCs w:val="22"/>
        </w:rPr>
      </w:pPr>
      <w:r>
        <w:rPr>
          <w:rFonts w:ascii="Tahoma" w:hAnsi="Tahoma"/>
          <w:b/>
          <w:sz w:val="22"/>
          <w:szCs w:val="22"/>
        </w:rPr>
        <w:t>čl. II.</w:t>
      </w:r>
    </w:p>
    <w:p>
      <w:pPr>
        <w:pStyle w:val="NoSpacing"/>
        <w:spacing w:before="0" w:after="120"/>
        <w:jc w:val="center"/>
        <w:rPr>
          <w:rFonts w:ascii="Tahoma" w:hAnsi="Tahoma"/>
          <w:sz w:val="22"/>
          <w:szCs w:val="22"/>
        </w:rPr>
      </w:pPr>
      <w:r>
        <w:rPr>
          <w:rFonts w:ascii="Tahoma" w:hAnsi="Tahoma"/>
          <w:b/>
          <w:sz w:val="22"/>
          <w:szCs w:val="22"/>
        </w:rPr>
        <w:t>Základní ustanovení</w:t>
      </w:r>
    </w:p>
    <w:p>
      <w:pPr>
        <w:pStyle w:val="NoSpacing"/>
        <w:numPr>
          <w:ilvl w:val="0"/>
          <w:numId w:val="5"/>
        </w:numPr>
        <w:spacing w:before="0" w:after="120"/>
        <w:ind w:hanging="426" w:left="426"/>
        <w:jc w:val="both"/>
        <w:rPr>
          <w:rFonts w:ascii="Tahoma" w:hAnsi="Tahoma"/>
        </w:rPr>
      </w:pPr>
      <w:r>
        <w:rPr>
          <w:rFonts w:ascii="Tahoma" w:hAnsi="Tahoma"/>
        </w:rPr>
        <w:t xml:space="preserve">Tato smlouva je uzavřena dle § 2079 a násl. zákona č. 89/2012, občanský zákoník (dále jen „občanský zákoník“) (dále jen „občanský zákoník“); ve znění pozdějších předpisů, práva a povinnosti stran touto smlouvou neupravená se řídí příslušnými ustanoveními občanského zákoníku. </w:t>
      </w:r>
    </w:p>
    <w:p>
      <w:pPr>
        <w:pStyle w:val="NoSpacing"/>
        <w:numPr>
          <w:ilvl w:val="0"/>
          <w:numId w:val="5"/>
        </w:numPr>
        <w:spacing w:before="0" w:after="120"/>
        <w:ind w:hanging="426" w:left="426"/>
        <w:jc w:val="both"/>
        <w:rPr>
          <w:rFonts w:ascii="Tahoma" w:hAnsi="Tahoma"/>
        </w:rPr>
      </w:pPr>
      <w:r>
        <w:rPr>
          <w:rFonts w:ascii="Tahoma" w:hAnsi="Tahoma"/>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pPr>
        <w:pStyle w:val="ListParagraph"/>
        <w:numPr>
          <w:ilvl w:val="0"/>
          <w:numId w:val="5"/>
        </w:numPr>
        <w:ind w:hanging="426" w:left="426"/>
        <w:jc w:val="both"/>
        <w:rPr>
          <w:rFonts w:ascii="Tahoma" w:hAnsi="Tahoma"/>
        </w:rPr>
      </w:pPr>
      <w:r>
        <w:rPr>
          <w:rFonts w:eastAsia="Times New Roman" w:ascii="Tahoma" w:hAnsi="Tahoma"/>
          <w:i w:val="false"/>
          <w:iCs w:val="false"/>
          <w:sz w:val="22"/>
          <w:szCs w:val="20"/>
          <w:lang w:eastAsia="cs-CZ"/>
        </w:rPr>
        <w:t>Smluvní strany se zavazují používat k vzájemné komunikaci e-mailové adresy uvedené v úvodu smlouvy, kdy zpráva je doručena okamžikem doručení cílovému serveru. K doručení výpovědi a dalším úkonům, které mají mít vliv na trvání smlouvy, se vyžaduje forma datové zprávy prostřednictvím datové schránky dle zákona č. 300/2008 Sb., přičemž smluvní strany sjednávají, že dokument, který byl dodán do datové schránky, je doručen okamžikem, kdy se do datové schránky přihlásí osoba, která má s ohledem na rozsah svého oprávnění přístup k dodanému dokumentu. Současně platí, že nepřihlásí-li se do datové schránky osoba ve lhůtě 10 dnů ode dne, kdy byl dokument dodán do datové schránky, považuje se tento dokument za doručený posledním dnem této lhůty. Písemnost odeslaná prostřednictvím provozovatele poštovních služeb v listinné podobě se považuje za doručenou třetím dnem po odeslání na adresu sídla.</w:t>
      </w:r>
    </w:p>
    <w:p>
      <w:pPr>
        <w:pStyle w:val="NoSpacing"/>
        <w:numPr>
          <w:ilvl w:val="0"/>
          <w:numId w:val="5"/>
        </w:numPr>
        <w:spacing w:before="0" w:after="120"/>
        <w:ind w:hanging="426" w:left="426"/>
        <w:jc w:val="both"/>
        <w:rPr>
          <w:rFonts w:ascii="Tahoma" w:hAnsi="Tahoma"/>
        </w:rPr>
      </w:pPr>
      <w:r>
        <w:rPr>
          <w:rFonts w:ascii="Tahoma" w:hAnsi="Tahoma"/>
        </w:rPr>
        <w:t xml:space="preserve">Dodavatel prohlašuje, že bankovní účet uvedený v čl. I odst. 2 této smlouvy je bankovním účtem zveřejněným ve smyslu </w:t>
      </w:r>
      <w:r>
        <w:rPr>
          <w:rFonts w:ascii="Tahoma" w:hAnsi="Tahoma"/>
          <w:szCs w:val="22"/>
        </w:rPr>
        <w:t>zákona o DPH</w:t>
      </w:r>
      <w:r>
        <w:rPr>
          <w:rFonts w:ascii="Tahoma" w:hAnsi="Tahoma"/>
        </w:rPr>
        <w:t>. V případě změny účtu dodavatele je dodavatel povinen doložit vlastnictví k novému účtu, a to kopií příslušné smlouvy nebo potvrzením peněžního ústavu; nový účet však musí být zveřejněným účtem ve smyslu předchozí věty.</w:t>
      </w:r>
    </w:p>
    <w:p>
      <w:pPr>
        <w:pStyle w:val="NoSpacing"/>
        <w:numPr>
          <w:ilvl w:val="0"/>
          <w:numId w:val="5"/>
        </w:numPr>
        <w:spacing w:before="0" w:after="120"/>
        <w:ind w:hanging="426" w:left="426"/>
        <w:jc w:val="both"/>
        <w:rPr>
          <w:rFonts w:ascii="Tahoma" w:hAnsi="Tahoma"/>
        </w:rPr>
      </w:pPr>
      <w:r>
        <w:rPr>
          <w:rFonts w:ascii="Tahoma" w:hAnsi="Tahoma"/>
        </w:rPr>
        <w:t>Smluvní strany prohlašují, že osoby podepisující tuto smlouvu jsou k tomuto úkonu oprávněny.</w:t>
      </w:r>
    </w:p>
    <w:p>
      <w:pPr>
        <w:pStyle w:val="NoSpacing"/>
        <w:numPr>
          <w:ilvl w:val="0"/>
          <w:numId w:val="5"/>
        </w:numPr>
        <w:spacing w:before="0" w:after="120"/>
        <w:ind w:hanging="426" w:left="426"/>
        <w:jc w:val="both"/>
        <w:rPr>
          <w:rFonts w:ascii="Tahoma" w:hAnsi="Tahoma"/>
        </w:rPr>
      </w:pPr>
      <w:r>
        <w:rPr>
          <w:rFonts w:ascii="Tahoma" w:hAnsi="Tahoma"/>
        </w:rPr>
        <w:t>Dodavatel prohlašuje, že je odborně způsobilý k zajištění předmětu plnění podle této smlouvy.</w:t>
      </w:r>
    </w:p>
    <w:p>
      <w:pPr>
        <w:pStyle w:val="NoSpacing"/>
        <w:numPr>
          <w:ilvl w:val="0"/>
          <w:numId w:val="5"/>
        </w:numPr>
        <w:spacing w:before="0" w:after="120"/>
        <w:ind w:hanging="426" w:left="426"/>
        <w:jc w:val="both"/>
        <w:rPr>
          <w:rFonts w:ascii="Tahoma" w:hAnsi="Tahoma"/>
        </w:rPr>
      </w:pPr>
      <w:r>
        <w:rPr>
          <w:rFonts w:ascii="Tahoma" w:hAnsi="Tahoma"/>
          <w:szCs w:val="24"/>
        </w:rPr>
        <w:t xml:space="preserve">Touto smlouvou se dodavatel zavazuje realizovat pro odběratele předmět dodávky a odběratel se zavazuje tento přijmout a zaplatit sjednanou cenu. </w:t>
      </w:r>
    </w:p>
    <w:p>
      <w:pPr>
        <w:pStyle w:val="NoSpacing"/>
        <w:numPr>
          <w:ilvl w:val="0"/>
          <w:numId w:val="5"/>
        </w:numPr>
        <w:spacing w:before="0" w:after="120"/>
        <w:ind w:hanging="426" w:left="426"/>
        <w:jc w:val="both"/>
        <w:rPr>
          <w:rFonts w:ascii="Tahoma" w:hAnsi="Tahoma"/>
          <w:szCs w:val="24"/>
        </w:rPr>
      </w:pPr>
      <w:r>
        <w:rPr>
          <w:rFonts w:ascii="Tahoma" w:hAnsi="Tahoma"/>
          <w:szCs w:val="24"/>
        </w:rPr>
        <w:t xml:space="preserve">Předpokládá se, že předmět smlouvy bude spolufinancován z Operačního programu spravedlivá transformace (OPST). </w:t>
      </w:r>
    </w:p>
    <w:p>
      <w:pPr>
        <w:pStyle w:val="NoSpacing"/>
        <w:numPr>
          <w:ilvl w:val="0"/>
          <w:numId w:val="0"/>
        </w:numPr>
        <w:spacing w:before="0" w:after="120"/>
        <w:ind w:hanging="0" w:left="426"/>
        <w:jc w:val="both"/>
        <w:rPr>
          <w:rFonts w:ascii="Tahoma" w:hAnsi="Tahoma"/>
          <w:szCs w:val="24"/>
        </w:rPr>
      </w:pPr>
      <w:r>
        <w:rPr>
          <w:rFonts w:ascii="Tahoma" w:hAnsi="Tahoma"/>
          <w:szCs w:val="24"/>
        </w:rPr>
        <w:t>Dodavatel je povinen uchovávat veškerou dokumentaci související s realizací plnění dle této smlouvy včetně účetních dokladů v souladu s příslušnými pravidly OPST minimálně do 31.12.2036, není-li v českých právních předpisech stanovena lhůta delší.</w:t>
      </w:r>
    </w:p>
    <w:p>
      <w:pPr>
        <w:pStyle w:val="NoSpacing"/>
        <w:numPr>
          <w:ilvl w:val="0"/>
          <w:numId w:val="0"/>
        </w:numPr>
        <w:spacing w:before="0" w:after="120"/>
        <w:ind w:hanging="0" w:left="426"/>
        <w:jc w:val="both"/>
        <w:rPr>
          <w:rFonts w:ascii="Tahoma" w:hAnsi="Tahoma"/>
          <w:szCs w:val="24"/>
        </w:rPr>
      </w:pPr>
      <w:r>
        <w:rPr>
          <w:rFonts w:ascii="Tahoma" w:hAnsi="Tahoma"/>
          <w:szCs w:val="24"/>
        </w:rPr>
        <w:t>Dodavatel je povinen minimálně do 31.12.2036 poskytovat požadované informace a dokumentaci související s realizací projektu v originální podobě zaměstnancům nebo zmocněncům pověřených orgánů (Ministerstva financí České republiky, Ministerstva životního prostředí, Evropské komise, Evropského účetního dvora, Nejvyššího kontrolního úřadu, příslušného orgánu finanční správy a dalších oprávněných orgánů státní správy); prodávající musí umožnit pověřeným subjektům vstup na místo realizace projektu a kontrolu dokumentace a účetnictví projektu a je povinen vytvořit výše uvedeným osobám podmínky k provedení kontroly vztahující se k realizaci projektu a poskytnout jim při provádění kontroly součinnost.</w:t>
      </w:r>
    </w:p>
    <w:p>
      <w:pPr>
        <w:pStyle w:val="NoSpacing"/>
        <w:numPr>
          <w:ilvl w:val="0"/>
          <w:numId w:val="0"/>
        </w:numPr>
        <w:spacing w:before="0" w:after="120"/>
        <w:ind w:hanging="0" w:left="426"/>
        <w:jc w:val="both"/>
        <w:rPr>
          <w:rFonts w:ascii="Tahoma" w:hAnsi="Tahoma"/>
          <w:szCs w:val="24"/>
        </w:rPr>
      </w:pPr>
      <w:r>
        <w:rPr>
          <w:rFonts w:ascii="Tahoma" w:hAnsi="Tahoma"/>
          <w:szCs w:val="24"/>
        </w:rPr>
        <w:t>Objednatel upozorňuje na povinnost dodržet pravidla dotačního titulu mj. zásady „významně nepoškozovat“ životní prostředí (DNSH).</w:t>
      </w:r>
    </w:p>
    <w:p>
      <w:pPr>
        <w:pStyle w:val="NoSpacing"/>
        <w:jc w:val="both"/>
        <w:rPr>
          <w:rFonts w:ascii="Tahoma" w:hAnsi="Tahoma"/>
          <w:b/>
          <w:sz w:val="24"/>
          <w:szCs w:val="24"/>
        </w:rPr>
      </w:pPr>
      <w:r>
        <w:rPr>
          <w:rFonts w:ascii="Tahoma" w:hAnsi="Tahoma"/>
          <w:b/>
          <w:sz w:val="24"/>
          <w:szCs w:val="24"/>
        </w:rPr>
      </w:r>
    </w:p>
    <w:p>
      <w:pPr>
        <w:pStyle w:val="NoSpacing"/>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III.</w:t>
      </w:r>
    </w:p>
    <w:p>
      <w:pPr>
        <w:pStyle w:val="NoSpacing"/>
        <w:jc w:val="center"/>
        <w:rPr>
          <w:rFonts w:ascii="Tahoma" w:hAnsi="Tahoma"/>
          <w:sz w:val="22"/>
          <w:szCs w:val="22"/>
        </w:rPr>
      </w:pPr>
      <w:r>
        <w:rPr>
          <w:rFonts w:ascii="Tahoma" w:hAnsi="Tahoma"/>
          <w:b/>
          <w:sz w:val="22"/>
          <w:szCs w:val="22"/>
        </w:rPr>
        <w:t>Předmět dodávky</w:t>
      </w:r>
    </w:p>
    <w:p>
      <w:pPr>
        <w:pStyle w:val="NoSpacing"/>
        <w:numPr>
          <w:ilvl w:val="0"/>
          <w:numId w:val="6"/>
        </w:numPr>
        <w:spacing w:before="0" w:after="120"/>
        <w:jc w:val="both"/>
        <w:rPr>
          <w:rFonts w:ascii="Tahoma" w:hAnsi="Tahoma"/>
        </w:rPr>
      </w:pPr>
      <w:r>
        <w:rPr>
          <w:rFonts w:ascii="Tahoma" w:hAnsi="Tahoma"/>
        </w:rPr>
        <w:t>Předmětem smlouvy je dodávka, instalace a oživení (samotná konfigurace bude provedena kupujícím a není součástí zakázky) specifikovaná v příloze č. 1 této smlouvy.</w:t>
      </w:r>
    </w:p>
    <w:p>
      <w:pPr>
        <w:pStyle w:val="NoSpacing"/>
        <w:numPr>
          <w:ilvl w:val="0"/>
          <w:numId w:val="6"/>
        </w:numPr>
        <w:spacing w:before="0" w:after="120"/>
        <w:jc w:val="both"/>
        <w:rPr>
          <w:rFonts w:ascii="Tahoma" w:hAnsi="Tahoma"/>
        </w:rPr>
      </w:pPr>
      <w:r>
        <w:rPr>
          <w:rFonts w:ascii="Tahoma" w:hAnsi="Tahoma"/>
        </w:rPr>
        <w:t xml:space="preserve">Technické parametry předmětu smlouvy tvoří přílohu č. 1 této smlouvy. Předmět dodávky musí plně respektovat stávající topologii sítě dle podmínek stanovených správcem sítě. </w:t>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IV.</w:t>
      </w:r>
    </w:p>
    <w:p>
      <w:pPr>
        <w:pStyle w:val="NoSpacing"/>
        <w:spacing w:before="0" w:after="120"/>
        <w:jc w:val="center"/>
        <w:rPr>
          <w:rFonts w:ascii="Tahoma" w:hAnsi="Tahoma"/>
          <w:sz w:val="22"/>
          <w:szCs w:val="22"/>
        </w:rPr>
      </w:pPr>
      <w:r>
        <w:rPr>
          <w:rFonts w:ascii="Tahoma" w:hAnsi="Tahoma"/>
          <w:b/>
          <w:sz w:val="22"/>
          <w:szCs w:val="22"/>
        </w:rPr>
        <w:t xml:space="preserve">Doba a místo plnění </w:t>
      </w:r>
    </w:p>
    <w:p>
      <w:pPr>
        <w:pStyle w:val="NoSpacing"/>
        <w:numPr>
          <w:ilvl w:val="0"/>
          <w:numId w:val="7"/>
        </w:numPr>
        <w:spacing w:before="0" w:after="120"/>
        <w:ind w:hanging="426" w:left="426"/>
        <w:jc w:val="both"/>
        <w:rPr>
          <w:rFonts w:ascii="Tahoma" w:hAnsi="Tahoma"/>
        </w:rPr>
      </w:pPr>
      <w:r>
        <w:rPr>
          <w:rFonts w:ascii="Tahoma" w:hAnsi="Tahoma"/>
          <w:bCs/>
        </w:rPr>
        <w:t xml:space="preserve">Dodavatel se zavazuje realizovat předmět dodávky do 120 kalendářních dnů ode dne nabytí účinnosti této smlouvy, nikoli však dříve než 15. 9. 2026. </w:t>
      </w:r>
      <w:r>
        <w:rPr>
          <w:rFonts w:ascii="Tahoma" w:hAnsi="Tahoma"/>
        </w:rPr>
        <w:t xml:space="preserve">  </w:t>
      </w:r>
    </w:p>
    <w:p>
      <w:pPr>
        <w:pStyle w:val="NoSpacing"/>
        <w:numPr>
          <w:ilvl w:val="0"/>
          <w:numId w:val="7"/>
        </w:numPr>
        <w:spacing w:before="0" w:after="120"/>
        <w:ind w:hanging="426" w:left="426"/>
        <w:jc w:val="both"/>
        <w:rPr>
          <w:rFonts w:ascii="Tahoma" w:hAnsi="Tahoma"/>
        </w:rPr>
      </w:pPr>
      <w:r>
        <w:rPr>
          <w:rFonts w:ascii="Tahoma" w:hAnsi="Tahoma"/>
          <w:bCs/>
        </w:rPr>
        <w:t>Místem plnění je Střední umělecká škola, Ostrava, příspěvková organizace, Poděbradova 959/33, Moravská Ostrava, 70200 Ostrava</w:t>
      </w:r>
      <w:r>
        <w:rPr>
          <w:rFonts w:ascii="Tahoma" w:hAnsi="Tahoma"/>
        </w:rPr>
        <w:t>.</w:t>
      </w:r>
    </w:p>
    <w:p>
      <w:pPr>
        <w:pStyle w:val="Normal"/>
        <w:spacing w:before="0" w:after="120"/>
        <w:rPr>
          <w:rFonts w:ascii="Tahoma" w:hAnsi="Tahoma"/>
        </w:rPr>
      </w:pPr>
      <w:r>
        <w:rPr>
          <w:rFonts w:ascii="Tahoma" w:hAnsi="Tahoma"/>
        </w:rPr>
      </w:r>
    </w:p>
    <w:p>
      <w:pPr>
        <w:pStyle w:val="NoSpacing"/>
        <w:jc w:val="center"/>
        <w:rPr>
          <w:rFonts w:ascii="Tahoma" w:hAnsi="Tahoma"/>
          <w:sz w:val="22"/>
          <w:szCs w:val="22"/>
        </w:rPr>
      </w:pPr>
      <w:r>
        <w:rPr>
          <w:rFonts w:ascii="Tahoma" w:hAnsi="Tahoma"/>
          <w:b/>
          <w:sz w:val="22"/>
          <w:szCs w:val="22"/>
        </w:rPr>
        <w:t>čl. V.</w:t>
      </w:r>
    </w:p>
    <w:p>
      <w:pPr>
        <w:pStyle w:val="NoSpacing"/>
        <w:spacing w:before="0" w:after="120"/>
        <w:jc w:val="center"/>
        <w:rPr>
          <w:rFonts w:ascii="Tahoma" w:hAnsi="Tahoma"/>
          <w:sz w:val="22"/>
          <w:szCs w:val="22"/>
        </w:rPr>
      </w:pPr>
      <w:r>
        <w:rPr>
          <w:rFonts w:ascii="Tahoma" w:hAnsi="Tahoma"/>
          <w:b/>
          <w:sz w:val="22"/>
          <w:szCs w:val="22"/>
        </w:rPr>
        <w:t>Cena za dílo</w:t>
      </w:r>
    </w:p>
    <w:p>
      <w:pPr>
        <w:pStyle w:val="NoSpacing"/>
        <w:numPr>
          <w:ilvl w:val="0"/>
          <w:numId w:val="8"/>
        </w:numPr>
        <w:spacing w:before="0" w:after="120"/>
        <w:ind w:hanging="360" w:left="426"/>
        <w:jc w:val="both"/>
        <w:rPr>
          <w:rFonts w:ascii="Tahoma" w:hAnsi="Tahoma"/>
        </w:rPr>
      </w:pPr>
      <w:r>
        <w:rPr>
          <w:rFonts w:ascii="Tahoma" w:hAnsi="Tahoma"/>
        </w:rPr>
        <w:t>Celková cena předmětu dodávky dle čl. III. odst. 1 této smlouvy činí::</w:t>
      </w:r>
    </w:p>
    <w:p>
      <w:pPr>
        <w:pStyle w:val="NoSpacing"/>
        <w:spacing w:before="0" w:after="120"/>
        <w:ind w:left="567"/>
        <w:jc w:val="both"/>
        <w:rPr>
          <w:rFonts w:ascii="Tahoma" w:hAnsi="Tahoma"/>
          <w:b/>
          <w:bCs/>
        </w:rPr>
      </w:pPr>
      <w:r>
        <w:rPr>
          <w:rFonts w:ascii="Tahoma" w:hAnsi="Tahoma"/>
          <w:b/>
          <w:bCs/>
        </w:rPr>
        <w:t>část I:  Pece a příprava</w:t>
      </w:r>
    </w:p>
    <w:p>
      <w:pPr>
        <w:pStyle w:val="NoSpacing"/>
        <w:spacing w:before="0" w:after="120"/>
        <w:ind w:left="567"/>
        <w:jc w:val="both"/>
        <w:rPr>
          <w:rFonts w:ascii="Tahoma" w:hAnsi="Tahoma"/>
        </w:rPr>
      </w:pPr>
      <w:r>
        <w:rPr>
          <w:rFonts w:ascii="Tahoma" w:hAnsi="Tahoma"/>
        </w:rPr>
        <w:t xml:space="preserve">Cena bez DPH </w:t>
        <w:tab/>
        <w:tab/>
        <w:t xml:space="preserve">….. Kč </w:t>
      </w:r>
    </w:p>
    <w:p>
      <w:pPr>
        <w:pStyle w:val="NoSpacing"/>
        <w:spacing w:before="0" w:after="120"/>
        <w:ind w:left="567"/>
        <w:jc w:val="both"/>
        <w:rPr>
          <w:rFonts w:ascii="Tahoma" w:hAnsi="Tahoma"/>
        </w:rPr>
      </w:pPr>
      <w:r>
        <w:rPr>
          <w:rFonts w:ascii="Tahoma" w:hAnsi="Tahoma"/>
        </w:rPr>
        <w:t>DPH</w:t>
        <w:tab/>
        <w:tab/>
        <w:tab/>
        <w:t xml:space="preserve">…. Kč </w:t>
      </w:r>
    </w:p>
    <w:p>
      <w:pPr>
        <w:pStyle w:val="NoSpacing"/>
        <w:spacing w:before="0" w:after="120"/>
        <w:ind w:left="567"/>
        <w:jc w:val="both"/>
        <w:rPr>
          <w:rFonts w:ascii="Tahoma" w:hAnsi="Tahoma"/>
        </w:rPr>
      </w:pPr>
      <w:r>
        <w:rPr>
          <w:rFonts w:ascii="Tahoma" w:hAnsi="Tahoma"/>
        </w:rPr>
        <w:t>Cena celkem vč. DPH</w:t>
        <w:tab/>
        <w:t>…. Kč</w:t>
      </w:r>
    </w:p>
    <w:p>
      <w:pPr>
        <w:pStyle w:val="NoSpacing"/>
        <w:spacing w:before="0" w:after="120"/>
        <w:ind w:left="567"/>
        <w:jc w:val="both"/>
        <w:rPr>
          <w:rFonts w:ascii="Tahoma" w:hAnsi="Tahoma"/>
          <w:b/>
          <w:bCs/>
        </w:rPr>
      </w:pPr>
      <w:r>
        <w:rPr>
          <w:rFonts w:ascii="Tahoma" w:hAnsi="Tahoma"/>
          <w:b/>
          <w:bCs/>
        </w:rPr>
        <w:t>část II: 3D tiskárna keramiky</w:t>
      </w:r>
    </w:p>
    <w:p>
      <w:pPr>
        <w:pStyle w:val="NoSpacing"/>
        <w:spacing w:before="0" w:after="120"/>
        <w:ind w:left="567"/>
        <w:jc w:val="both"/>
        <w:rPr>
          <w:rFonts w:ascii="Tahoma" w:hAnsi="Tahoma"/>
        </w:rPr>
      </w:pPr>
      <w:r>
        <w:rPr>
          <w:rFonts w:ascii="Tahoma" w:hAnsi="Tahoma"/>
        </w:rPr>
        <w:t xml:space="preserve">Cena bez DPH </w:t>
        <w:tab/>
        <w:tab/>
        <w:t xml:space="preserve">….. Kč </w:t>
      </w:r>
    </w:p>
    <w:p>
      <w:pPr>
        <w:pStyle w:val="NoSpacing"/>
        <w:spacing w:before="0" w:after="120"/>
        <w:ind w:left="567"/>
        <w:jc w:val="both"/>
        <w:rPr>
          <w:rFonts w:ascii="Tahoma" w:hAnsi="Tahoma"/>
        </w:rPr>
      </w:pPr>
      <w:r>
        <w:rPr>
          <w:rFonts w:ascii="Tahoma" w:hAnsi="Tahoma"/>
        </w:rPr>
        <w:t>DPH</w:t>
        <w:tab/>
        <w:tab/>
        <w:tab/>
        <w:t xml:space="preserve">…. Kč </w:t>
      </w:r>
    </w:p>
    <w:p>
      <w:pPr>
        <w:pStyle w:val="NoSpacing"/>
        <w:spacing w:before="0" w:after="120"/>
        <w:ind w:left="567"/>
        <w:jc w:val="both"/>
        <w:rPr>
          <w:rFonts w:ascii="Tahoma" w:hAnsi="Tahoma"/>
        </w:rPr>
      </w:pPr>
      <w:r>
        <w:rPr>
          <w:rFonts w:ascii="Tahoma" w:hAnsi="Tahoma"/>
        </w:rPr>
        <w:t>Cena celkem vč. DPH</w:t>
        <w:tab/>
        <w:t>…. Kč</w:t>
      </w:r>
    </w:p>
    <w:p>
      <w:pPr>
        <w:pStyle w:val="NoSpacing"/>
        <w:spacing w:before="0" w:after="120"/>
        <w:ind w:left="567"/>
        <w:jc w:val="both"/>
        <w:rPr>
          <w:rFonts w:ascii="Tahoma" w:hAnsi="Tahoma" w:cs="Tahoma"/>
          <w:i w:val="false"/>
          <w:iCs w:val="false"/>
          <w:sz w:val="20"/>
        </w:rPr>
      </w:pPr>
      <w:r>
        <w:rPr>
          <w:rFonts w:cs="Tahoma" w:ascii="Tahoma" w:hAnsi="Tahoma"/>
          <w:i w:val="false"/>
          <w:iCs w:val="false"/>
          <w:sz w:val="20"/>
        </w:rPr>
      </w:r>
    </w:p>
    <w:p>
      <w:pPr>
        <w:pStyle w:val="NoSpacing"/>
        <w:jc w:val="center"/>
        <w:rPr>
          <w:rFonts w:ascii="Tahoma" w:hAnsi="Tahoma"/>
          <w:b/>
          <w:bCs/>
          <w:sz w:val="22"/>
          <w:szCs w:val="22"/>
        </w:rPr>
      </w:pPr>
      <w:r>
        <w:rPr>
          <w:rFonts w:ascii="Tahoma" w:hAnsi="Tahoma"/>
          <w:b/>
          <w:bCs/>
          <w:sz w:val="22"/>
          <w:szCs w:val="22"/>
        </w:rPr>
        <w:t>čl. VI.</w:t>
      </w:r>
    </w:p>
    <w:p>
      <w:pPr>
        <w:pStyle w:val="NoSpacing"/>
        <w:spacing w:before="0" w:after="120"/>
        <w:jc w:val="center"/>
        <w:rPr>
          <w:rFonts w:ascii="Tahoma" w:hAnsi="Tahoma"/>
          <w:b/>
          <w:bCs/>
          <w:sz w:val="22"/>
          <w:szCs w:val="22"/>
        </w:rPr>
      </w:pPr>
      <w:r>
        <w:rPr>
          <w:rFonts w:ascii="Tahoma" w:hAnsi="Tahoma"/>
          <w:b/>
          <w:bCs/>
          <w:sz w:val="22"/>
          <w:szCs w:val="22"/>
        </w:rPr>
        <w:t>Platební podmínky</w:t>
      </w:r>
    </w:p>
    <w:p>
      <w:pPr>
        <w:pStyle w:val="NoSpacing"/>
        <w:numPr>
          <w:ilvl w:val="0"/>
          <w:numId w:val="15"/>
        </w:numPr>
        <w:suppressAutoHyphens w:val="true"/>
        <w:spacing w:before="0" w:after="120"/>
        <w:ind w:hanging="284" w:left="284"/>
        <w:jc w:val="both"/>
        <w:rPr>
          <w:rFonts w:ascii="Tahoma" w:hAnsi="Tahoma"/>
        </w:rPr>
      </w:pPr>
      <w:r>
        <w:rPr>
          <w:rFonts w:ascii="Tahoma" w:hAnsi="Tahoma"/>
        </w:rPr>
        <w:t xml:space="preserve"> </w:t>
      </w:r>
      <w:r>
        <w:rPr>
          <w:rFonts w:ascii="Tahoma" w:hAnsi="Tahoma"/>
        </w:rPr>
        <w:t xml:space="preserve">Zálohy na platby nejsou sjednány. </w:t>
      </w:r>
    </w:p>
    <w:p>
      <w:pPr>
        <w:pStyle w:val="NoSpacing"/>
        <w:numPr>
          <w:ilvl w:val="0"/>
          <w:numId w:val="15"/>
        </w:numPr>
        <w:suppressAutoHyphens w:val="true"/>
        <w:spacing w:before="0" w:after="120"/>
        <w:jc w:val="both"/>
        <w:rPr>
          <w:rFonts w:ascii="Tahoma" w:hAnsi="Tahoma"/>
        </w:rPr>
      </w:pPr>
      <w:r>
        <w:rPr>
          <w:rFonts w:ascii="Tahoma" w:hAnsi="Tahoma"/>
          <w:szCs w:val="22"/>
        </w:rPr>
        <w:t>Splatnost faktur je stanovena do 30 dnů ode dne doručení objednateli. Faktura bude vydána po dodání předmětu díla.</w:t>
      </w:r>
    </w:p>
    <w:p>
      <w:pPr>
        <w:pStyle w:val="NoSpacing"/>
        <w:numPr>
          <w:ilvl w:val="0"/>
          <w:numId w:val="15"/>
        </w:numPr>
        <w:suppressAutoHyphens w:val="true"/>
        <w:spacing w:before="0" w:after="120"/>
        <w:ind w:hanging="357" w:left="360"/>
        <w:jc w:val="both"/>
        <w:rPr>
          <w:rFonts w:ascii="Tahoma" w:hAnsi="Tahoma"/>
        </w:rPr>
      </w:pPr>
      <w:r>
        <w:rPr>
          <w:rFonts w:ascii="Tahoma" w:hAnsi="Tahoma"/>
        </w:rPr>
        <w:t>Daňový doklad bude vystaven dodavatelem s datem zdanitelného plnění. Daňový doklad bude vystaven v souladu se zákonem č. 235/2004 Sb. v platném znění.</w:t>
      </w:r>
    </w:p>
    <w:p>
      <w:pPr>
        <w:pStyle w:val="NoSpacing"/>
        <w:numPr>
          <w:ilvl w:val="0"/>
          <w:numId w:val="15"/>
        </w:numPr>
        <w:suppressAutoHyphens w:val="true"/>
        <w:spacing w:before="0" w:after="120"/>
        <w:jc w:val="both"/>
        <w:rPr>
          <w:rFonts w:ascii="Tahoma" w:hAnsi="Tahoma"/>
        </w:rPr>
      </w:pPr>
      <w:r>
        <w:rPr>
          <w:rFonts w:ascii="Tahoma" w:hAnsi="Tahoma"/>
          <w:szCs w:val="22"/>
        </w:rPr>
        <w:t>Kromě náležitostí stanovených platnými právními předpisy pro daňový doklad dle § 28 a 29 zákona o DPH je druhá smluvní strana povinna ve faktuře uvést i tyto údaje:</w:t>
      </w:r>
    </w:p>
    <w:p>
      <w:pPr>
        <w:pStyle w:val="NoSpacing"/>
        <w:numPr>
          <w:ilvl w:val="0"/>
          <w:numId w:val="14"/>
        </w:numPr>
        <w:suppressAutoHyphens w:val="true"/>
        <w:spacing w:before="0" w:after="120"/>
        <w:jc w:val="both"/>
        <w:rPr>
          <w:rFonts w:ascii="Tahoma" w:hAnsi="Tahoma"/>
          <w:szCs w:val="22"/>
        </w:rPr>
      </w:pPr>
      <w:r>
        <w:rPr>
          <w:rFonts w:ascii="Tahoma" w:hAnsi="Tahoma"/>
          <w:szCs w:val="22"/>
        </w:rPr>
        <w:t>číslo smlouvy objednatele, IČO objednatele,</w:t>
      </w:r>
    </w:p>
    <w:p>
      <w:pPr>
        <w:pStyle w:val="NoSpacing"/>
        <w:numPr>
          <w:ilvl w:val="0"/>
          <w:numId w:val="14"/>
        </w:numPr>
        <w:suppressAutoHyphens w:val="true"/>
        <w:spacing w:before="0" w:after="120"/>
        <w:jc w:val="both"/>
        <w:rPr>
          <w:rFonts w:ascii="Tahoma" w:hAnsi="Tahoma"/>
          <w:szCs w:val="22"/>
        </w:rPr>
      </w:pPr>
      <w:r>
        <w:rPr>
          <w:rFonts w:ascii="Tahoma" w:hAnsi="Tahoma"/>
          <w:szCs w:val="22"/>
        </w:rPr>
        <w:t xml:space="preserve">předmět smlouvy, tj. text „Kreativní studio SUŠ II – Poděbradova, ev. č. projektu CZ.10.03.01/00/25_087/0001514“, </w:t>
      </w:r>
    </w:p>
    <w:p>
      <w:pPr>
        <w:pStyle w:val="NoSpacing"/>
        <w:numPr>
          <w:ilvl w:val="0"/>
          <w:numId w:val="14"/>
        </w:numPr>
        <w:suppressAutoHyphens w:val="true"/>
        <w:spacing w:before="0" w:after="120"/>
        <w:jc w:val="both"/>
        <w:rPr>
          <w:rFonts w:ascii="Tahoma" w:hAnsi="Tahoma"/>
          <w:szCs w:val="22"/>
        </w:rPr>
      </w:pPr>
      <w:r>
        <w:rPr>
          <w:rFonts w:ascii="Tahoma" w:hAnsi="Tahoma"/>
          <w:szCs w:val="22"/>
        </w:rPr>
        <w:t>označení banky a číslo účtu, na který musí být zaplaceno (pokud je číslo účtu odlišné od čísla uvedeného v čl. I odst. 2, je dodavatel povinen o této skutečnosti v souladu s čl. II odst. 2 a 3 této smlouvy informovat objednatele),</w:t>
      </w:r>
    </w:p>
    <w:p>
      <w:pPr>
        <w:pStyle w:val="NoSpacing"/>
        <w:numPr>
          <w:ilvl w:val="0"/>
          <w:numId w:val="14"/>
        </w:numPr>
        <w:suppressAutoHyphens w:val="true"/>
        <w:spacing w:before="0" w:after="120"/>
        <w:jc w:val="both"/>
        <w:rPr>
          <w:rFonts w:ascii="Tahoma" w:hAnsi="Tahoma"/>
          <w:szCs w:val="22"/>
        </w:rPr>
      </w:pPr>
      <w:r>
        <w:rPr>
          <w:rFonts w:ascii="Tahoma" w:hAnsi="Tahoma"/>
          <w:szCs w:val="22"/>
        </w:rPr>
        <w:t>lhůtu splatnosti faktury,</w:t>
      </w:r>
    </w:p>
    <w:p>
      <w:pPr>
        <w:pStyle w:val="NoSpacing"/>
        <w:numPr>
          <w:ilvl w:val="0"/>
          <w:numId w:val="14"/>
        </w:numPr>
        <w:suppressAutoHyphens w:val="true"/>
        <w:spacing w:before="0" w:after="120"/>
        <w:jc w:val="both"/>
        <w:rPr>
          <w:rFonts w:ascii="Tahoma" w:hAnsi="Tahoma"/>
          <w:szCs w:val="22"/>
        </w:rPr>
      </w:pPr>
      <w:r>
        <w:rPr>
          <w:rFonts w:ascii="Tahoma" w:hAnsi="Tahoma"/>
          <w:szCs w:val="22"/>
        </w:rPr>
        <w:t>označení osoby, která fakturu vyhotovila, včetně kontaktního telefonu,</w:t>
      </w:r>
    </w:p>
    <w:p>
      <w:pPr>
        <w:pStyle w:val="NoSpacing"/>
        <w:numPr>
          <w:ilvl w:val="0"/>
          <w:numId w:val="14"/>
        </w:numPr>
        <w:suppressAutoHyphens w:val="true"/>
        <w:spacing w:before="0" w:after="120"/>
        <w:jc w:val="both"/>
        <w:rPr>
          <w:rFonts w:ascii="Tahoma" w:hAnsi="Tahoma"/>
          <w:szCs w:val="22"/>
        </w:rPr>
      </w:pPr>
      <w:r>
        <w:rPr>
          <w:rFonts w:ascii="Tahoma" w:hAnsi="Tahoma"/>
          <w:szCs w:val="22"/>
        </w:rPr>
        <w:t>číslo zápisu o předání a převzetí díla a datum jeho podpisu. Zápis o předání a převzetí díla bude přílohou faktury.</w:t>
      </w:r>
    </w:p>
    <w:p>
      <w:pPr>
        <w:pStyle w:val="NoSpacing"/>
        <w:numPr>
          <w:ilvl w:val="0"/>
          <w:numId w:val="15"/>
        </w:numPr>
        <w:spacing w:before="0" w:after="120"/>
        <w:jc w:val="both"/>
        <w:rPr>
          <w:rFonts w:ascii="Tahoma" w:hAnsi="Tahoma"/>
        </w:rPr>
      </w:pPr>
      <w:r>
        <w:rPr>
          <w:rFonts w:ascii="Tahoma" w:hAnsi="Tahoma"/>
          <w:szCs w:val="22"/>
        </w:rPr>
        <w:t>Doručení faktury se provede osobně na podatelnu objednatele nebo doručenkou prostřednictvím provozovatele poštovních služeb. Dodavatel je povinen doručit fakturu objednateli nejpozději 7. den kalendářního měsíce následujícího po dni uskutečnění zdanitelného plnění.</w:t>
      </w:r>
    </w:p>
    <w:p>
      <w:pPr>
        <w:pStyle w:val="NoSpacing"/>
        <w:numPr>
          <w:ilvl w:val="0"/>
          <w:numId w:val="15"/>
        </w:numPr>
        <w:spacing w:before="0" w:after="120"/>
        <w:jc w:val="both"/>
        <w:rPr>
          <w:rFonts w:ascii="Tahoma" w:hAnsi="Tahoma"/>
        </w:rPr>
      </w:pPr>
      <w:r>
        <w:rPr>
          <w:rFonts w:ascii="Tahoma" w:hAnsi="Tahoma"/>
          <w:szCs w:val="22"/>
        </w:rPr>
        <w:t>Objednatel je oprávněn vadnou fakturu před uplynutím lhůty splatnosti vrátit druhé smluvní straně bez zaplacení k provedení opravy v těchto případech:</w:t>
      </w:r>
    </w:p>
    <w:p>
      <w:pPr>
        <w:pStyle w:val="Normal"/>
        <w:numPr>
          <w:ilvl w:val="0"/>
          <w:numId w:val="17"/>
        </w:numPr>
        <w:tabs>
          <w:tab w:val="clear" w:pos="708"/>
          <w:tab w:val="left" w:pos="426" w:leader="none"/>
          <w:tab w:val="left" w:pos="709" w:leader="none"/>
        </w:tabs>
        <w:snapToGrid w:val="false"/>
        <w:spacing w:before="0" w:after="120"/>
        <w:jc w:val="both"/>
        <w:rPr>
          <w:rFonts w:ascii="Tahoma" w:hAnsi="Tahoma"/>
        </w:rPr>
      </w:pPr>
      <w:r>
        <w:rPr>
          <w:rFonts w:ascii="Tahoma" w:hAnsi="Tahoma"/>
          <w:i w:val="false"/>
          <w:sz w:val="22"/>
          <w:szCs w:val="22"/>
        </w:rPr>
        <w:t>nebude-li faktura obsahovat některou povinnou nebo dohodnutou náležitost nebo bude-li chybně vyúčtována cena za dílo,</w:t>
      </w:r>
    </w:p>
    <w:p>
      <w:pPr>
        <w:pStyle w:val="Normal"/>
        <w:numPr>
          <w:ilvl w:val="0"/>
          <w:numId w:val="17"/>
        </w:numPr>
        <w:tabs>
          <w:tab w:val="clear" w:pos="708"/>
          <w:tab w:val="left" w:pos="426" w:leader="none"/>
        </w:tabs>
        <w:snapToGrid w:val="false"/>
        <w:spacing w:before="0" w:after="120"/>
        <w:jc w:val="both"/>
        <w:rPr>
          <w:rFonts w:ascii="Tahoma" w:hAnsi="Tahoma"/>
        </w:rPr>
      </w:pPr>
      <w:r>
        <w:rPr>
          <w:rFonts w:ascii="Tahoma" w:hAnsi="Tahoma"/>
          <w:i w:val="false"/>
          <w:sz w:val="22"/>
          <w:szCs w:val="22"/>
        </w:rPr>
        <w:t>budou-li vyúčtovány práce, které nebyly provedeny či nebyly potvrzeny oprávněným zástupcem objednatele,</w:t>
      </w:r>
    </w:p>
    <w:p>
      <w:pPr>
        <w:pStyle w:val="NoSpacing"/>
        <w:numPr>
          <w:ilvl w:val="0"/>
          <w:numId w:val="15"/>
        </w:numPr>
        <w:suppressAutoHyphens w:val="true"/>
        <w:spacing w:before="0" w:after="120"/>
        <w:jc w:val="both"/>
        <w:rPr>
          <w:rFonts w:ascii="Tahoma" w:hAnsi="Tahoma"/>
        </w:rPr>
      </w:pPr>
      <w:r>
        <w:rPr>
          <w:rFonts w:ascii="Tahoma" w:hAnsi="Tahoma"/>
          <w:szCs w:val="22"/>
        </w:rPr>
        <w:t xml:space="preserve">Ve vrácené faktuře objednatel vyznačí důvod vrácení. Dodavatel provede opravu vystavením nové faktury. Vrátí-li objednatel vadnou fakturu dodavateli, přestává běžet původní lhůta splatnosti. Celá lhůta splatnosti běží opět ode dne doručení nově vyhotovené faktury objednateli. Dodavatel je povinen doručit objednateli opravenou fakturu do 3 dnů po obdržení objednatelem vrácené vadné faktury. </w:t>
      </w:r>
    </w:p>
    <w:p>
      <w:pPr>
        <w:pStyle w:val="NoSpacing"/>
        <w:numPr>
          <w:ilvl w:val="0"/>
          <w:numId w:val="15"/>
        </w:numPr>
        <w:suppressAutoHyphens w:val="true"/>
        <w:spacing w:before="0" w:after="120"/>
        <w:jc w:val="both"/>
        <w:rPr>
          <w:rFonts w:ascii="Tahoma" w:hAnsi="Tahoma"/>
        </w:rPr>
      </w:pPr>
      <w:r>
        <w:rPr>
          <w:rFonts w:ascii="Tahoma" w:hAnsi="Tahoma"/>
          <w:szCs w:val="22"/>
        </w:rPr>
        <w:t>Povinnost zaplatit je splněna dnem odepsání příslušné částky z účtu objednatele.</w:t>
      </w:r>
      <w:r>
        <w:rPr>
          <w:rFonts w:ascii="Tahoma" w:hAnsi="Tahoma"/>
          <w:sz w:val="20"/>
        </w:rPr>
        <w:t xml:space="preserve"> </w:t>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VII.</w:t>
      </w:r>
    </w:p>
    <w:p>
      <w:pPr>
        <w:pStyle w:val="NoSpacing"/>
        <w:spacing w:before="0" w:after="120"/>
        <w:jc w:val="center"/>
        <w:rPr>
          <w:rFonts w:ascii="Tahoma" w:hAnsi="Tahoma"/>
          <w:sz w:val="22"/>
          <w:szCs w:val="22"/>
        </w:rPr>
      </w:pPr>
      <w:r>
        <w:rPr>
          <w:rFonts w:ascii="Tahoma" w:hAnsi="Tahoma"/>
          <w:b/>
          <w:sz w:val="22"/>
          <w:szCs w:val="22"/>
        </w:rPr>
        <w:t>Práva z vadného plnění, záruka za jakost</w:t>
      </w:r>
    </w:p>
    <w:p>
      <w:pPr>
        <w:pStyle w:val="NoSpacing"/>
        <w:numPr>
          <w:ilvl w:val="0"/>
          <w:numId w:val="9"/>
        </w:numPr>
        <w:spacing w:before="0" w:after="120"/>
        <w:ind w:hanging="360" w:left="426"/>
        <w:jc w:val="both"/>
        <w:rPr>
          <w:rFonts w:ascii="Tahoma" w:hAnsi="Tahoma"/>
        </w:rPr>
      </w:pPr>
      <w:r>
        <w:rPr>
          <w:rFonts w:ascii="Tahoma" w:hAnsi="Tahoma"/>
          <w:szCs w:val="22"/>
        </w:rPr>
        <w:t>Záruční doba na zboží se sjednává v délce 24 měsíců a počítá se ode dne podpisu předávacího protokolu. Vady dodaného zboží je odběratel povinen reklamovat bez zbytečného odkladu po jejich zjištění a v písemné formě. V reklamaci vady popíše, uvede, jak se projevují a uvede, zda se jedná o vadu bezprostředně ohrožující provoz díla, či o vadu neohrožující provoz díla.</w:t>
      </w:r>
    </w:p>
    <w:p>
      <w:pPr>
        <w:pStyle w:val="NoSpacing"/>
        <w:numPr>
          <w:ilvl w:val="0"/>
          <w:numId w:val="9"/>
        </w:numPr>
        <w:spacing w:before="0" w:after="120"/>
        <w:ind w:hanging="360" w:left="426"/>
        <w:jc w:val="both"/>
        <w:rPr>
          <w:rFonts w:ascii="Tahoma" w:hAnsi="Tahoma"/>
        </w:rPr>
      </w:pPr>
      <w:r>
        <w:rPr>
          <w:rFonts w:ascii="Tahoma" w:hAnsi="Tahoma"/>
          <w:szCs w:val="22"/>
        </w:rPr>
        <w:t>Dodavatel neodpovídá za vady vzniklé běžným opotřebením, neodborným použitím, vyšší mocí, zásahem třetích osob bez souhlasu prodávajícího a zacházením s věcí nebo užíváním věci k jiným účelům, než ke kterým je věc určena. V těchto případech se na vady nevztahuje záruka. Podmínkou je používání věci v souladu s návodem k obsluze, který musí být předán souběžně s dodaným zboží.</w:t>
      </w:r>
    </w:p>
    <w:p>
      <w:pPr>
        <w:pStyle w:val="NoSpacing"/>
        <w:numPr>
          <w:ilvl w:val="0"/>
          <w:numId w:val="9"/>
        </w:numPr>
        <w:spacing w:before="0" w:after="120"/>
        <w:ind w:hanging="360" w:left="426"/>
        <w:jc w:val="both"/>
        <w:rPr>
          <w:rFonts w:ascii="Tahoma" w:hAnsi="Tahoma"/>
        </w:rPr>
      </w:pPr>
      <w:r>
        <w:rPr>
          <w:rFonts w:ascii="Tahoma" w:hAnsi="Tahoma"/>
          <w:szCs w:val="22"/>
        </w:rPr>
        <w:t>V případě, že reklamovaná vada je odstranitelná, se reklamace řeší odstraněním vady (a to ve lhůtě sjednané mezi dodavatelem a objednatelem), přičemž dodavateli náleží právo volby, zda vady odstraní formou opravy či dodáním náhradních součástí a příslušenství.</w:t>
      </w:r>
    </w:p>
    <w:p>
      <w:pPr>
        <w:pStyle w:val="NoSpacing"/>
        <w:numPr>
          <w:ilvl w:val="0"/>
          <w:numId w:val="9"/>
        </w:numPr>
        <w:spacing w:before="0" w:after="120"/>
        <w:ind w:hanging="360" w:left="426"/>
        <w:jc w:val="both"/>
        <w:rPr>
          <w:rFonts w:ascii="Tahoma" w:hAnsi="Tahoma"/>
        </w:rPr>
      </w:pPr>
      <w:r>
        <w:rPr>
          <w:rFonts w:ascii="Tahoma" w:hAnsi="Tahoma"/>
          <w:szCs w:val="22"/>
        </w:rPr>
        <w:t>Veškeré vady díla bude objednatel povinen uplatnit u dodavatele bez zbytečného odkladu poté, kdy vadu zjistil, a to formou písemného oznámení (za písemné oznámení se považuje i oznámení faxem nebo e-mailem), obsahujícího specifikaci zjištěné vady. Objednatel bude vady díla oznamovat na:</w:t>
      </w:r>
    </w:p>
    <w:p>
      <w:pPr>
        <w:pStyle w:val="NoSpacing"/>
        <w:numPr>
          <w:ilvl w:val="0"/>
          <w:numId w:val="10"/>
        </w:numPr>
        <w:spacing w:before="0" w:after="120"/>
        <w:jc w:val="both"/>
        <w:rPr>
          <w:rFonts w:ascii="Tahoma" w:hAnsi="Tahoma"/>
        </w:rPr>
      </w:pPr>
      <w:r>
        <w:rPr>
          <w:rFonts w:ascii="Tahoma" w:hAnsi="Tahoma"/>
          <w:szCs w:val="22"/>
        </w:rPr>
        <w:t xml:space="preserve">e-mail: </w:t>
      </w:r>
      <w:r>
        <w:rPr>
          <w:rFonts w:ascii="Tahoma" w:hAnsi="Tahoma"/>
          <w:szCs w:val="22"/>
          <w:highlight w:val="yellow"/>
        </w:rPr>
        <w:t>…………..…………,</w:t>
      </w:r>
      <w:r>
        <w:rPr>
          <w:rFonts w:ascii="Tahoma" w:hAnsi="Tahoma"/>
          <w:szCs w:val="22"/>
        </w:rPr>
        <w:t xml:space="preserve"> </w:t>
      </w:r>
      <w:r>
        <w:rPr>
          <w:rFonts w:ascii="Tahoma" w:hAnsi="Tahoma"/>
          <w:bCs/>
          <w:szCs w:val="22"/>
        </w:rPr>
        <w:t>nebo</w:t>
      </w:r>
    </w:p>
    <w:p>
      <w:pPr>
        <w:pStyle w:val="NoSpacing"/>
        <w:numPr>
          <w:ilvl w:val="0"/>
          <w:numId w:val="10"/>
        </w:numPr>
        <w:spacing w:before="0" w:after="120"/>
        <w:jc w:val="both"/>
        <w:rPr>
          <w:rFonts w:ascii="Tahoma" w:hAnsi="Tahoma"/>
        </w:rPr>
      </w:pPr>
      <w:r>
        <w:rPr>
          <w:rFonts w:ascii="Tahoma" w:hAnsi="Tahoma"/>
          <w:szCs w:val="22"/>
        </w:rPr>
        <w:t xml:space="preserve">adresu: </w:t>
      </w:r>
      <w:r>
        <w:rPr>
          <w:rFonts w:ascii="Tahoma" w:hAnsi="Tahoma"/>
          <w:szCs w:val="22"/>
          <w:highlight w:val="yellow"/>
        </w:rPr>
        <w:t>……………………..</w:t>
      </w:r>
      <w:r>
        <w:rPr>
          <w:rFonts w:ascii="Tahoma" w:hAnsi="Tahoma"/>
          <w:bCs/>
          <w:szCs w:val="22"/>
          <w:highlight w:val="yellow"/>
        </w:rPr>
        <w:t>,</w:t>
      </w:r>
      <w:r>
        <w:rPr>
          <w:rFonts w:ascii="Tahoma" w:hAnsi="Tahoma"/>
          <w:bCs/>
          <w:szCs w:val="22"/>
        </w:rPr>
        <w:t xml:space="preserve"> </w:t>
      </w:r>
    </w:p>
    <w:p>
      <w:pPr>
        <w:pStyle w:val="NoSpacing"/>
        <w:numPr>
          <w:ilvl w:val="0"/>
          <w:numId w:val="10"/>
        </w:numPr>
        <w:spacing w:before="0" w:after="120"/>
        <w:jc w:val="both"/>
        <w:rPr>
          <w:rFonts w:ascii="Tahoma" w:hAnsi="Tahoma"/>
        </w:rPr>
      </w:pPr>
      <w:r>
        <w:rPr>
          <w:rFonts w:ascii="Tahoma" w:hAnsi="Tahoma"/>
          <w:bCs/>
          <w:szCs w:val="22"/>
        </w:rPr>
        <w:t xml:space="preserve">do datové schránky </w:t>
      </w:r>
      <w:r>
        <w:rPr>
          <w:rFonts w:ascii="Tahoma" w:hAnsi="Tahoma"/>
          <w:bCs/>
          <w:szCs w:val="22"/>
          <w:highlight w:val="yellow"/>
        </w:rPr>
        <w:t>…………</w:t>
      </w:r>
    </w:p>
    <w:p>
      <w:pPr>
        <w:pStyle w:val="NoSpacing"/>
        <w:numPr>
          <w:ilvl w:val="0"/>
          <w:numId w:val="9"/>
        </w:numPr>
        <w:tabs>
          <w:tab w:val="clear" w:pos="708"/>
          <w:tab w:val="left" w:pos="426" w:leader="none"/>
        </w:tabs>
        <w:spacing w:before="0" w:after="120"/>
        <w:ind w:hanging="284" w:left="426"/>
        <w:jc w:val="both"/>
        <w:rPr>
          <w:rFonts w:ascii="Tahoma" w:hAnsi="Tahoma"/>
          <w:szCs w:val="22"/>
        </w:rPr>
      </w:pPr>
      <w:r>
        <w:rPr>
          <w:rFonts w:ascii="Tahoma" w:hAnsi="Tahoma"/>
          <w:szCs w:val="22"/>
        </w:rPr>
        <w:t xml:space="preserve">Dodavatel je povinen zahájit odstraňování reklamované vady nejpozději do 3 pracovních dnů ode dne oznámení vady. Servisní zásah bude prováděn v sídle objednatele. V případě, že nebude závada odstraněna do 5 pracovních dnů ode dne zahájení prací na odstranění vady, je dodavatel povinen bezplatně poskytnout objednateli náhradní prvek stejných nebo lepších parametrů, a to po celou dobu do odstranění vady na zařízení. </w:t>
      </w:r>
    </w:p>
    <w:p>
      <w:pPr>
        <w:pStyle w:val="NoSpacing"/>
        <w:numPr>
          <w:ilvl w:val="0"/>
          <w:numId w:val="0"/>
        </w:numPr>
        <w:tabs>
          <w:tab w:val="clear" w:pos="708"/>
          <w:tab w:val="left" w:pos="426" w:leader="none"/>
        </w:tabs>
        <w:spacing w:before="0" w:after="120"/>
        <w:ind w:hanging="0" w:left="426"/>
        <w:jc w:val="both"/>
        <w:rPr>
          <w:rFonts w:ascii="Tahoma" w:hAnsi="Tahoma"/>
          <w:szCs w:val="22"/>
        </w:rPr>
      </w:pPr>
      <w:r>
        <w:rPr>
          <w:rFonts w:ascii="Tahoma" w:hAnsi="Tahoma"/>
          <w:szCs w:val="22"/>
        </w:rPr>
      </w:r>
    </w:p>
    <w:p>
      <w:pPr>
        <w:pStyle w:val="NoSpacing"/>
        <w:jc w:val="center"/>
        <w:rPr>
          <w:rFonts w:ascii="Tahoma" w:hAnsi="Tahoma"/>
          <w:sz w:val="22"/>
          <w:szCs w:val="22"/>
        </w:rPr>
      </w:pPr>
      <w:r>
        <w:rPr>
          <w:rFonts w:ascii="Tahoma" w:hAnsi="Tahoma"/>
          <w:b/>
          <w:sz w:val="22"/>
          <w:szCs w:val="22"/>
        </w:rPr>
        <w:t>čl. VIII.</w:t>
      </w:r>
    </w:p>
    <w:p>
      <w:pPr>
        <w:pStyle w:val="NoSpacing"/>
        <w:spacing w:before="0" w:after="120"/>
        <w:jc w:val="center"/>
        <w:rPr>
          <w:rFonts w:ascii="Tahoma" w:hAnsi="Tahoma"/>
          <w:sz w:val="22"/>
          <w:szCs w:val="22"/>
        </w:rPr>
      </w:pPr>
      <w:r>
        <w:rPr>
          <w:rFonts w:ascii="Tahoma" w:hAnsi="Tahoma"/>
          <w:b/>
          <w:bCs/>
          <w:sz w:val="22"/>
          <w:szCs w:val="22"/>
        </w:rPr>
        <w:t xml:space="preserve">Sankční ujednání </w:t>
      </w:r>
    </w:p>
    <w:p>
      <w:pPr>
        <w:pStyle w:val="NoSpacing"/>
        <w:numPr>
          <w:ilvl w:val="0"/>
          <w:numId w:val="11"/>
        </w:numPr>
        <w:spacing w:before="0" w:after="120"/>
        <w:ind w:hanging="360" w:left="426"/>
        <w:jc w:val="both"/>
        <w:rPr>
          <w:rFonts w:ascii="Tahoma" w:hAnsi="Tahoma"/>
        </w:rPr>
      </w:pPr>
      <w:r>
        <w:rPr>
          <w:rFonts w:ascii="Tahoma" w:hAnsi="Tahoma"/>
        </w:rPr>
        <w:t xml:space="preserve">V případě, že dodavatel nedodá předmět dodávky ve lhůtě dle čl. IV. odst. 1 této smlouvy, je objednatel oprávněn po dodavateli požadovat úhradu smluvní pokuty ve výši 500 Kč za každý i započatý den prodlení. </w:t>
      </w:r>
    </w:p>
    <w:p>
      <w:pPr>
        <w:pStyle w:val="NoSpacing"/>
        <w:numPr>
          <w:ilvl w:val="0"/>
          <w:numId w:val="11"/>
        </w:numPr>
        <w:spacing w:before="0" w:after="120"/>
        <w:ind w:hanging="360" w:left="426"/>
        <w:jc w:val="both"/>
        <w:rPr>
          <w:rFonts w:ascii="Tahoma" w:hAnsi="Tahoma"/>
        </w:rPr>
      </w:pPr>
      <w:r>
        <w:rPr>
          <w:rFonts w:ascii="Tahoma" w:hAnsi="Tahoma"/>
        </w:rPr>
        <w:t>V případě, že objednatel neuhrazení v termínu splatnosti řádně vystavenou a doručenou fakturu dodavatele, je dodavatel oprávněn po objednateli požadovat úhradu smluvní pokuty ve výši 0,05 % z hodnoty neuhrazené faktury za každý i započatý den prodlení s úhradou.</w:t>
      </w:r>
    </w:p>
    <w:p>
      <w:pPr>
        <w:pStyle w:val="NoSpacing"/>
        <w:numPr>
          <w:ilvl w:val="0"/>
          <w:numId w:val="11"/>
        </w:numPr>
        <w:spacing w:before="0" w:after="120"/>
        <w:ind w:hanging="426" w:left="426"/>
        <w:jc w:val="both"/>
        <w:rPr>
          <w:rFonts w:ascii="Tahoma" w:hAnsi="Tahoma"/>
        </w:rPr>
      </w:pPr>
      <w:r>
        <w:rPr>
          <w:rFonts w:ascii="Tahoma" w:hAnsi="Tahoma"/>
        </w:rPr>
        <w:t xml:space="preserve">Pro případ prodlení se zaplacením ceny za dílo sjednávají smluvní strany úrok z prodlení ve výši </w:t>
      </w:r>
      <w:r>
        <w:rPr>
          <w:rFonts w:ascii="Tahoma" w:hAnsi="Tahoma"/>
          <w:szCs w:val="22"/>
        </w:rPr>
        <w:t>stanovené občanskoprávními předpisy.</w:t>
      </w:r>
    </w:p>
    <w:p>
      <w:pPr>
        <w:pStyle w:val="NoSpacing"/>
        <w:numPr>
          <w:ilvl w:val="0"/>
          <w:numId w:val="11"/>
        </w:numPr>
        <w:spacing w:before="0" w:after="120"/>
        <w:ind w:hanging="426" w:left="426"/>
        <w:jc w:val="both"/>
        <w:rPr>
          <w:rFonts w:ascii="Tahoma" w:hAnsi="Tahoma"/>
        </w:rPr>
      </w:pPr>
      <w:r>
        <w:rPr>
          <w:rFonts w:ascii="Tahoma" w:hAnsi="Tahoma"/>
        </w:rPr>
        <w:t xml:space="preserve">V případě, že dodavatel nesplní svou povinnost dle čl. VII. odst. 5 této smlouvy, je objednatel oprávněn po dodavateli požadovat úhradu smluvní pokuty ve výši 30 000 Kč. </w:t>
      </w:r>
    </w:p>
    <w:p>
      <w:pPr>
        <w:pStyle w:val="NoSpacing"/>
        <w:spacing w:before="0" w:after="120"/>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IX.</w:t>
      </w:r>
    </w:p>
    <w:p>
      <w:pPr>
        <w:pStyle w:val="NoSpacing"/>
        <w:jc w:val="center"/>
        <w:rPr>
          <w:rFonts w:ascii="Tahoma" w:hAnsi="Tahoma"/>
          <w:sz w:val="22"/>
          <w:szCs w:val="22"/>
        </w:rPr>
      </w:pPr>
      <w:r>
        <w:rPr>
          <w:rFonts w:ascii="Tahoma" w:hAnsi="Tahoma"/>
          <w:b/>
          <w:bCs/>
          <w:sz w:val="22"/>
          <w:szCs w:val="22"/>
        </w:rPr>
        <w:t>Sankce vůči Rusku a Bělorusku</w:t>
      </w:r>
    </w:p>
    <w:p>
      <w:pPr>
        <w:pStyle w:val="NoSpacing"/>
        <w:numPr>
          <w:ilvl w:val="0"/>
          <w:numId w:val="12"/>
        </w:numPr>
        <w:spacing w:before="0" w:after="120"/>
        <w:ind w:hanging="360" w:left="426"/>
        <w:jc w:val="both"/>
        <w:rPr>
          <w:rFonts w:ascii="Tahoma" w:hAnsi="Tahoma"/>
        </w:rPr>
      </w:pPr>
      <w:r>
        <w:rPr>
          <w:rFonts w:ascii="Tahoma" w:hAnsi="Tahoma"/>
        </w:rPr>
        <w:t xml:space="preserve">Dodavatel odpovídá za to, že platby poskytované objednatelem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 </w:t>
      </w:r>
    </w:p>
    <w:p>
      <w:pPr>
        <w:pStyle w:val="NoSpacing"/>
        <w:numPr>
          <w:ilvl w:val="0"/>
          <w:numId w:val="12"/>
        </w:numPr>
        <w:spacing w:before="0" w:after="120"/>
        <w:ind w:hanging="360" w:left="426"/>
        <w:jc w:val="both"/>
        <w:rPr>
          <w:rFonts w:ascii="Tahoma" w:hAnsi="Tahoma"/>
        </w:rPr>
      </w:pPr>
      <w:r>
        <w:rPr>
          <w:rFonts w:ascii="Tahoma" w:hAnsi="Tahoma"/>
        </w:rPr>
        <w:t>Dodavatel je povinen objednatele bezodkladně informovat o jakýchkoliv skutečnostech, které mohou mít vliv na odpovědnost dodavatele dle odst. 1 tohoto článku smlouvy. Dodavatel je současně povinen kdykoliv poskytnout objednateli bezodkladnou součinnost pro případné ověření pravdivosti informací dle odst. 1 tohoto článku smlouvy.</w:t>
      </w:r>
    </w:p>
    <w:p>
      <w:pPr>
        <w:pStyle w:val="NoSpacing"/>
        <w:numPr>
          <w:ilvl w:val="0"/>
          <w:numId w:val="12"/>
        </w:numPr>
        <w:spacing w:before="0" w:after="120"/>
        <w:ind w:hanging="360" w:left="426"/>
        <w:jc w:val="both"/>
        <w:rPr>
          <w:rFonts w:ascii="Tahoma" w:hAnsi="Tahoma"/>
        </w:rPr>
      </w:pPr>
      <w:r>
        <w:rPr>
          <w:rFonts w:ascii="Tahoma" w:hAnsi="Tahoma"/>
        </w:rPr>
        <w:t>Dojde-li k porušení pravidel dle odst. 1 tohoto článku smlouvy, je objednatel oprávněn odstoupit od této smlouvy; odstoupení se však nedotýká povinností dodavatele vyplývajících ze záruky za jakost, odpovědnosti za vady, povinnosti zaplatit smluvní pokutu, povinnosti nahradit škodu a povinnosti zachovat důvěrnost informací souvisejících s plněním dle této smlouvy.</w:t>
      </w:r>
    </w:p>
    <w:p>
      <w:pPr>
        <w:pStyle w:val="NoSpacing"/>
        <w:numPr>
          <w:ilvl w:val="0"/>
          <w:numId w:val="12"/>
        </w:numPr>
        <w:spacing w:before="0" w:after="120"/>
        <w:ind w:hanging="360" w:left="426"/>
        <w:jc w:val="both"/>
        <w:rPr>
          <w:rFonts w:ascii="Tahoma" w:hAnsi="Tahoma"/>
        </w:rPr>
      </w:pPr>
      <w:r>
        <w:rPr>
          <w:rFonts w:ascii="Tahoma" w:hAnsi="Tahoma"/>
        </w:rPr>
        <w:t>Dojde-li k porušení pravidel dle odst. 1 tohoto článku smlouvy, je dodavatel povinen zaplatit objednateli smluvní pokutu ve výši 50.000 Kč, a to za každý jednotlivý případ porušení.</w:t>
      </w:r>
    </w:p>
    <w:p>
      <w:pPr>
        <w:pStyle w:val="NoSpacing"/>
        <w:jc w:val="both"/>
        <w:rPr>
          <w:rFonts w:ascii="Tahoma" w:hAnsi="Tahoma"/>
          <w:b/>
          <w:sz w:val="24"/>
          <w:szCs w:val="24"/>
        </w:rPr>
      </w:pPr>
      <w:r>
        <w:rPr>
          <w:rFonts w:ascii="Tahoma" w:hAnsi="Tahoma"/>
          <w:b/>
          <w:sz w:val="24"/>
          <w:szCs w:val="24"/>
        </w:rPr>
      </w:r>
    </w:p>
    <w:p>
      <w:pPr>
        <w:pStyle w:val="NoSpacing"/>
        <w:jc w:val="center"/>
        <w:rPr>
          <w:rFonts w:ascii="Tahoma" w:hAnsi="Tahoma"/>
          <w:sz w:val="22"/>
          <w:szCs w:val="22"/>
        </w:rPr>
      </w:pPr>
      <w:r>
        <w:rPr>
          <w:rFonts w:ascii="Tahoma" w:hAnsi="Tahoma"/>
          <w:b/>
          <w:sz w:val="22"/>
          <w:szCs w:val="22"/>
        </w:rPr>
        <w:t>čl. X.</w:t>
      </w:r>
    </w:p>
    <w:p>
      <w:pPr>
        <w:pStyle w:val="NoSpacing"/>
        <w:numPr>
          <w:ilvl w:val="0"/>
          <w:numId w:val="0"/>
        </w:numPr>
        <w:spacing w:before="0" w:after="120"/>
        <w:ind w:hanging="0" w:left="0"/>
        <w:jc w:val="center"/>
        <w:outlineLvl w:val="0"/>
        <w:rPr>
          <w:rFonts w:ascii="Tahoma" w:hAnsi="Tahoma"/>
          <w:sz w:val="22"/>
          <w:szCs w:val="22"/>
        </w:rPr>
      </w:pPr>
      <w:r>
        <w:rPr>
          <w:rFonts w:ascii="Tahoma" w:hAnsi="Tahoma"/>
          <w:b/>
          <w:sz w:val="22"/>
          <w:szCs w:val="22"/>
        </w:rPr>
        <w:t>Závěrečná ujednání</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Změnit nebo doplnit smlouvu mohou smluvní strany pouze formou písemných dodatků, které budou vzestupně číslovány, výslovně prohlášeny za dodatek této smlouvy a podepsány oprávněnými zástupci smluvních stran.</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 xml:space="preserve">Tato smlouva nabývá platnosti podpisem obou smluvních stran a účinnosti dnem zveřejnění v registru smluv dle zákona č. 340/2015 Sb.. </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Obě smluvní strany ve smyslu § 1728 odst. 2 občanského zákoníku souhlasí, že smlouva se uveřejní v plném rozsahu dle § 2 odst. 1 zákona č. 340/2015 Sb., o zvláštních podmínkách účinnosti některých smluv, uveřejňování těchto smluv a o registru smluv (zákon o registru smluv), ve znění pozdějších předpisů, v registru smluv, jehož správcem je Ministerstvo vnitra České republiky. Tuto povinnost splní objednatel. Smluvní strany dále prohlašují, že skutečnosti uvedené v této smlouvě nepovažují za obchodní tajemství ve smyslu příslušných ustanovení právních předpisů a udělují souhlas k jejich užití a zveřejnění bez stanovení dalších podmínek.</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Smlouva je vyhotovena elektronicky.</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Dodavatel nemůže bez souhlasu objednatele postoupit svá práva a povinnosti plynoucí ze smlouvy třetí osobě.</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pPr>
        <w:pStyle w:val="Smlouva-slo"/>
        <w:numPr>
          <w:ilvl w:val="0"/>
          <w:numId w:val="16"/>
        </w:numPr>
        <w:suppressAutoHyphens w:val="false"/>
        <w:spacing w:lineRule="auto" w:line="240" w:before="0" w:after="120"/>
        <w:rPr>
          <w:rFonts w:ascii="Tahoma" w:hAnsi="Tahoma"/>
        </w:rPr>
      </w:pPr>
      <w:r>
        <w:rPr>
          <w:rFonts w:ascii="Tahoma" w:hAnsi="Tahoma"/>
          <w:i w:val="false"/>
          <w:sz w:val="22"/>
          <w:szCs w:val="22"/>
        </w:rPr>
        <w:t>Dle § 2 písm. e) zákona č. 320/2001 Sb., o finanční kontrole ve veřejné správě, ve znění pozdějších předpisů, je dodavatel osobou povinnou spolupůsobit při výkonu finanční kontroly.</w:t>
      </w:r>
    </w:p>
    <w:p>
      <w:pPr>
        <w:pStyle w:val="Normal"/>
        <w:numPr>
          <w:ilvl w:val="0"/>
          <w:numId w:val="16"/>
        </w:numPr>
        <w:bidi w:val="0"/>
        <w:jc w:val="both"/>
        <w:rPr>
          <w:rFonts w:ascii="Tahoma" w:hAnsi="Tahoma"/>
        </w:rPr>
      </w:pPr>
      <w:r>
        <w:rPr>
          <w:rFonts w:eastAsia="Times New Roman" w:ascii="Tahoma" w:hAnsi="Tahoma"/>
          <w:i w:val="false"/>
          <w:iCs w:val="false"/>
          <w:color w:val="auto"/>
          <w:kern w:val="0"/>
          <w:sz w:val="22"/>
          <w:szCs w:val="22"/>
          <w:lang w:val="cs-CZ" w:bidi="ar-SA"/>
        </w:rPr>
        <w:t>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https://sus-ostrava.cz//.</w:t>
      </w:r>
    </w:p>
    <w:p>
      <w:pPr>
        <w:pStyle w:val="Smlouva-slo"/>
        <w:numPr>
          <w:ilvl w:val="0"/>
          <w:numId w:val="16"/>
        </w:numPr>
        <w:bidi w:val="0"/>
        <w:jc w:val="both"/>
        <w:rPr>
          <w:rFonts w:ascii="Tahoma" w:hAnsi="Tahoma"/>
        </w:rPr>
      </w:pPr>
      <w:r>
        <w:rPr>
          <w:rFonts w:eastAsia="Times New Roman" w:ascii="Tahoma" w:hAnsi="Tahoma"/>
          <w:i w:val="false"/>
          <w:iCs w:val="false"/>
          <w:color w:val="auto"/>
          <w:kern w:val="0"/>
          <w:sz w:val="22"/>
          <w:szCs w:val="22"/>
          <w:lang w:val="cs-CZ" w:bidi="ar-SA"/>
        </w:rPr>
        <w:t xml:space="preserve">Nedílnou součástí smlouvy jsou tyto přílohy: </w:t>
      </w:r>
    </w:p>
    <w:p>
      <w:pPr>
        <w:pStyle w:val="Smlouva-slo"/>
        <w:numPr>
          <w:ilvl w:val="0"/>
          <w:numId w:val="0"/>
        </w:numPr>
        <w:spacing w:before="0" w:after="60"/>
        <w:ind w:firstLine="360" w:left="0"/>
        <w:rPr>
          <w:rFonts w:ascii="Tahoma" w:hAnsi="Tahoma"/>
        </w:rPr>
      </w:pPr>
      <w:r>
        <w:rPr>
          <w:rFonts w:ascii="Tahoma" w:hAnsi="Tahoma"/>
          <w:bCs/>
          <w:i w:val="false"/>
          <w:sz w:val="22"/>
          <w:szCs w:val="22"/>
        </w:rPr>
        <w:t xml:space="preserve">Příloha č. 1: </w:t>
      </w:r>
      <w:r>
        <w:rPr>
          <w:rFonts w:ascii="Tahoma" w:hAnsi="Tahoma"/>
          <w:i w:val="false"/>
          <w:sz w:val="22"/>
          <w:szCs w:val="22"/>
        </w:rPr>
        <w:t xml:space="preserve">Technická specifikace a položkový rozpočet </w:t>
      </w:r>
      <w:r>
        <w:rPr>
          <w:rFonts w:ascii="Tahoma" w:hAnsi="Tahoma"/>
          <w:iCs w:val="false"/>
          <w:sz w:val="22"/>
          <w:szCs w:val="22"/>
        </w:rPr>
        <w:t>(součást přílohy 01_1 zadávacích podmínek)</w:t>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rPr>
      </w:pPr>
      <w:r>
        <w:rPr>
          <w:rFonts w:ascii="Tahoma" w:hAnsi="Tahoma"/>
          <w:szCs w:val="22"/>
        </w:rPr>
        <w:t>V Ostravě, dne:</w:t>
        <w:tab/>
        <w:tab/>
        <w:tab/>
        <w:t xml:space="preserve">                            </w:t>
        <w:tab/>
        <w:t xml:space="preserve">V………………………… , dne: </w:t>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szCs w:val="22"/>
        </w:rPr>
      </w:pPr>
      <w:r>
        <w:rPr>
          <w:rFonts w:ascii="Tahoma" w:hAnsi="Tahoma"/>
          <w:szCs w:val="22"/>
        </w:rPr>
      </w:r>
    </w:p>
    <w:p>
      <w:pPr>
        <w:pStyle w:val="NoSpacing"/>
        <w:jc w:val="both"/>
        <w:rPr>
          <w:rFonts w:ascii="Tahoma" w:hAnsi="Tahoma"/>
        </w:rPr>
      </w:pPr>
      <w:r>
        <w:rPr>
          <w:rFonts w:ascii="Tahoma" w:hAnsi="Tahoma"/>
          <w:szCs w:val="22"/>
        </w:rPr>
        <w:t xml:space="preserve">____________________________                             </w:t>
        <w:tab/>
        <w:t>____________________________</w:t>
      </w:r>
    </w:p>
    <w:p>
      <w:pPr>
        <w:pStyle w:val="NoSpacing"/>
        <w:jc w:val="both"/>
        <w:rPr>
          <w:rFonts w:ascii="Tahoma" w:hAnsi="Tahoma"/>
        </w:rPr>
      </w:pPr>
      <w:r>
        <w:rPr>
          <w:rFonts w:ascii="Tahoma" w:hAnsi="Tahoma"/>
          <w:szCs w:val="22"/>
        </w:rPr>
        <w:t>za objednatele</w:t>
        <w:tab/>
        <w:tab/>
        <w:tab/>
        <w:tab/>
        <w:tab/>
        <w:t xml:space="preserve">            </w:t>
        <w:tab/>
        <w:t>za dodavatele</w:t>
      </w:r>
    </w:p>
    <w:p>
      <w:pPr>
        <w:pStyle w:val="NoSpacing"/>
        <w:numPr>
          <w:ilvl w:val="0"/>
          <w:numId w:val="0"/>
        </w:numPr>
        <w:ind w:hanging="0" w:left="0"/>
        <w:jc w:val="both"/>
        <w:outlineLvl w:val="0"/>
        <w:rPr>
          <w:rFonts w:ascii="Tahoma" w:hAnsi="Tahoma"/>
        </w:rPr>
      </w:pPr>
      <w:r>
        <w:rPr>
          <w:rFonts w:ascii="Tahoma" w:hAnsi="Tahoma"/>
          <w:szCs w:val="22"/>
        </w:rPr>
        <w:t>Mgr. Martin Mikolášek</w:t>
      </w:r>
    </w:p>
    <w:p>
      <w:pPr>
        <w:pStyle w:val="NoSpacing"/>
        <w:jc w:val="both"/>
        <w:rPr>
          <w:rFonts w:ascii="Tahoma" w:hAnsi="Tahoma"/>
        </w:rPr>
      </w:pPr>
      <w:r>
        <w:rPr>
          <w:rFonts w:ascii="Tahoma" w:hAnsi="Tahoma"/>
          <w:szCs w:val="22"/>
        </w:rPr>
        <w:t>ředitel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09" w:top="1560" w:footer="869" w:bottom="198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swiss"/>
    <w:pitch w:val="variable"/>
  </w:font>
  <w:font w:name="Times New Roman">
    <w:charset w:val="ee"/>
    <w:family w:val="roman"/>
    <w:pitch w:val="variable"/>
  </w:font>
  <w:font w:name="Arial">
    <w:charset w:val="ee"/>
    <w:family w:val="swiss"/>
    <w:pitch w:val="variable"/>
  </w:font>
  <w:font w:name="Bookman Old Style">
    <w:charset w:val="ee"/>
    <w:family w:val="roman"/>
    <w:pitch w:val="variable"/>
  </w:font>
  <w:font w:name="Cambria">
    <w:charset w:val="ee"/>
    <w:family w:val="roman"/>
    <w:pitch w:val="variable"/>
  </w:font>
  <w:font w:name="Tahoma">
    <w:charset w:val="ee"/>
    <w:family w:val="swiss"/>
    <w:pitch w:val="variable"/>
  </w:font>
  <w:font w:name="Liberation Sans">
    <w:altName w:val="Arial"/>
    <w:charset w:val="ee"/>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rStyle w:val="PageNumber"/>
        <w:b w:val="false"/>
        <w:kern w:val="2"/>
        <w:sz w:val="16"/>
      </w:rPr>
    </w:pPr>
    <w:r>
      <w:rPr>
        <w:b w:val="false"/>
        <w:kern w:val="2"/>
        <w:sz w:val="16"/>
      </w:rPr>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t xml:space="preserve">Kupní smlouva - </w:t>
    </w:r>
    <w:r>
      <w:rPr>
        <w:rFonts w:cs="Tahoma" w:ascii="Tahoma" w:hAnsi="Tahoma"/>
        <w:sz w:val="18"/>
        <w:szCs w:val="18"/>
      </w:rPr>
      <w:t xml:space="preserve"> Kreativní studio SUŠ II – Poděbradova</w:t>
      <w:tab/>
      <w:tab/>
      <w:t xml:space="preserve">str. </w:t>
    </w:r>
    <w:r>
      <w:rPr>
        <w:rFonts w:cs="Tahoma" w:ascii="Tahoma" w:hAnsi="Tahoma"/>
        <w:sz w:val="18"/>
        <w:szCs w:val="18"/>
      </w:rPr>
      <w:fldChar w:fldCharType="begin"/>
    </w:r>
    <w:r>
      <w:rPr>
        <w:rFonts w:cs="Tahoma" w:ascii="Tahoma" w:hAnsi="Tahoma"/>
        <w:sz w:val="18"/>
        <w:szCs w:val="18"/>
      </w:rPr>
      <w:instrText xml:space="preserve"> PAGE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r>
      <w:rPr>
        <w:rFonts w:cs="Tahoma" w:ascii="Tahoma" w:hAnsi="Tahoma"/>
        <w:sz w:val="18"/>
        <w:szCs w:val="18"/>
      </w:rPr>
      <w:t xml:space="preserve"> z </w:t>
    </w:r>
    <w:r>
      <w:rPr>
        <w:rFonts w:cs="Tahoma" w:ascii="Tahoma" w:hAnsi="Tahoma"/>
        <w:sz w:val="18"/>
        <w:szCs w:val="18"/>
      </w:rPr>
      <w:fldChar w:fldCharType="begin"/>
    </w:r>
    <w:r>
      <w:rPr>
        <w:rFonts w:cs="Tahoma" w:ascii="Tahoma" w:hAnsi="Tahoma"/>
        <w:sz w:val="18"/>
        <w:szCs w:val="18"/>
      </w:rPr>
      <w:instrText xml:space="preserve"> NUMPAGES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rFonts w:cs="Tahoma" w:ascii="Tahoma" w:hAnsi="Tahoma"/>
        <w:bCs w:val="false"/>
        <w:sz w:val="18"/>
        <w:szCs w:val="18"/>
      </w:rPr>
      <w:t>Projekt reg. č. CZ.10.03.01/00/25_087/0001514</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rStyle w:val="PageNumber"/>
        <w:b w:val="false"/>
        <w:kern w:val="2"/>
        <w:sz w:val="16"/>
      </w:rPr>
    </w:pPr>
    <w:r>
      <w:rPr>
        <w:b w:val="false"/>
        <w:kern w:val="2"/>
        <w:sz w:val="16"/>
      </w:rPr>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t xml:space="preserve">Kupní smlouva - </w:t>
    </w:r>
    <w:r>
      <w:rPr>
        <w:rFonts w:cs="Tahoma" w:ascii="Tahoma" w:hAnsi="Tahoma"/>
        <w:sz w:val="18"/>
        <w:szCs w:val="18"/>
      </w:rPr>
      <w:t xml:space="preserve"> Kreativní studio SUŠ II – Poděbradova</w:t>
      <w:tab/>
      <w:tab/>
      <w:t xml:space="preserve">str. </w:t>
    </w:r>
    <w:r>
      <w:rPr>
        <w:rFonts w:cs="Tahoma" w:ascii="Tahoma" w:hAnsi="Tahoma"/>
        <w:sz w:val="18"/>
        <w:szCs w:val="18"/>
      </w:rPr>
      <w:fldChar w:fldCharType="begin"/>
    </w:r>
    <w:r>
      <w:rPr>
        <w:rFonts w:cs="Tahoma" w:ascii="Tahoma" w:hAnsi="Tahoma"/>
        <w:sz w:val="18"/>
        <w:szCs w:val="18"/>
      </w:rPr>
      <w:instrText xml:space="preserve"> PAGE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r>
      <w:rPr>
        <w:rFonts w:cs="Tahoma" w:ascii="Tahoma" w:hAnsi="Tahoma"/>
        <w:sz w:val="18"/>
        <w:szCs w:val="18"/>
      </w:rPr>
      <w:t xml:space="preserve"> z </w:t>
    </w:r>
    <w:r>
      <w:rPr>
        <w:rFonts w:cs="Tahoma" w:ascii="Tahoma" w:hAnsi="Tahoma"/>
        <w:sz w:val="18"/>
        <w:szCs w:val="18"/>
      </w:rPr>
      <w:fldChar w:fldCharType="begin"/>
    </w:r>
    <w:r>
      <w:rPr>
        <w:rFonts w:cs="Tahoma" w:ascii="Tahoma" w:hAnsi="Tahoma"/>
        <w:sz w:val="18"/>
        <w:szCs w:val="18"/>
      </w:rPr>
      <w:instrText xml:space="preserve"> NUMPAGES </w:instrText>
    </w:r>
    <w:r>
      <w:rPr>
        <w:rFonts w:cs="Tahoma" w:ascii="Tahoma" w:hAnsi="Tahoma"/>
        <w:sz w:val="18"/>
        <w:szCs w:val="18"/>
      </w:rPr>
      <w:fldChar w:fldCharType="separate"/>
    </w:r>
    <w:r>
      <w:rPr>
        <w:rFonts w:cs="Tahoma" w:ascii="Tahoma" w:hAnsi="Tahoma"/>
        <w:sz w:val="18"/>
        <w:szCs w:val="18"/>
      </w:rPr>
      <w:t>6</w:t>
    </w:r>
    <w:r>
      <w:rPr>
        <w:rFonts w:cs="Tahoma" w:ascii="Tahoma" w:hAnsi="Tahoma"/>
        <w:sz w:val="18"/>
        <w:szCs w:val="18"/>
      </w:rPr>
      <w:fldChar w:fldCharType="end"/>
    </w:r>
  </w:p>
  <w:p>
    <w:pPr>
      <w:pStyle w:val="Footer"/>
      <w:tabs>
        <w:tab w:val="clear" w:pos="4536"/>
        <w:tab w:val="clear" w:pos="9072"/>
        <w:tab w:val="left" w:pos="540" w:leader="none"/>
        <w:tab w:val="left" w:pos="1418" w:leader="none"/>
        <w:tab w:val="left" w:pos="1980" w:leader="none"/>
        <w:tab w:val="left" w:pos="7620" w:leader="none"/>
      </w:tabs>
      <w:spacing w:lineRule="exact" w:line="240"/>
      <w:ind w:hanging="567" w:left="567"/>
      <w:rPr>
        <w:bCs w:val="false"/>
        <w:sz w:val="18"/>
        <w:szCs w:val="18"/>
      </w:rPr>
    </w:pPr>
    <w:r>
      <w:rPr>
        <w:rFonts w:cs="Tahoma" w:ascii="Tahoma" w:hAnsi="Tahoma"/>
        <w:bCs w:val="false"/>
        <w:sz w:val="18"/>
        <w:szCs w:val="18"/>
      </w:rPr>
      <w:t>Projekt reg. č. CZ.10.03.01/00/25_087/0001514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 w:val="left" w:pos="3015" w:leader="none"/>
      </w:tabs>
      <w:spacing w:lineRule="exact" w:line="240"/>
      <w:rPr>
        <w:rFonts w:cs="Arial"/>
      </w:rPr>
    </w:pPr>
    <w:r>
      <w:rPr>
        <w:rFonts w:cs="Arial"/>
      </w:rPr>
    </w:r>
  </w:p>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 w:val="left" w:pos="3015" w:leader="none"/>
      </w:tabs>
      <w:spacing w:lineRule="exact" w:line="240"/>
      <w:rPr>
        <w:rFonts w:cs="Arial"/>
      </w:rPr>
    </w:pPr>
    <w:r>
      <w:rPr>
        <w:rFonts w:cs="Arial"/>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567"/>
        </w:tabs>
        <w:ind w:left="567" w:hanging="283"/>
      </w:pPr>
      <w:rPr>
        <w:rFonts w:ascii="Symbol" w:hAnsi="Symbol" w:cs="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bullet"/>
      <w:lvlText w:val=""/>
      <w:lvlJc w:val="left"/>
      <w:pPr>
        <w:tabs>
          <w:tab w:val="num" w:pos="567"/>
        </w:tabs>
        <w:ind w:left="567" w:hanging="283"/>
      </w:pPr>
      <w:rPr>
        <w:rFonts w:ascii="Symbol" w:hAnsi="Symbol" w:cs="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
      <w:lvlJc w:val="left"/>
      <w:pPr>
        <w:tabs>
          <w:tab w:val="num" w:pos="0"/>
        </w:tabs>
        <w:ind w:left="283" w:hanging="283"/>
      </w:pPr>
      <w:rPr>
        <w:rFonts w:ascii="Times New Roman" w:hAnsi="Times New Roman"/>
        <w:b w:val="false"/>
        <w:i w:val="false"/>
        <w:sz w:val="24"/>
        <w:u w:val="non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567"/>
        </w:tabs>
        <w:ind w:left="567" w:hanging="567"/>
      </w:pPr>
      <w:rPr>
        <w:rFonts w:ascii="Arial" w:hAnsi="Arial"/>
        <w:sz w:val="22"/>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578" w:hanging="360"/>
      </w:pPr>
      <w:rPr>
        <w:b w:val="false"/>
        <w:bCs w:val="false"/>
        <w:i w:val="false"/>
        <w:iCs w:val="false"/>
        <w:sz w:val="20"/>
        <w:szCs w:val="20"/>
      </w:rPr>
    </w:lvl>
    <w:lvl w:ilvl="1">
      <w:start w:val="1"/>
      <w:numFmt w:val="lowerLetter"/>
      <w:lvlText w:val="%2."/>
      <w:lvlJc w:val="left"/>
      <w:pPr>
        <w:tabs>
          <w:tab w:val="num" w:pos="0"/>
        </w:tabs>
        <w:ind w:left="1298" w:hanging="360"/>
      </w:pPr>
      <w:rPr/>
    </w:lvl>
    <w:lvl w:ilvl="2">
      <w:start w:val="1"/>
      <w:numFmt w:val="lowerRoman"/>
      <w:lvlText w:val="%3."/>
      <w:lvlJc w:val="right"/>
      <w:pPr>
        <w:tabs>
          <w:tab w:val="num" w:pos="0"/>
        </w:tabs>
        <w:ind w:left="2018" w:hanging="180"/>
      </w:pPr>
      <w:rPr/>
    </w:lvl>
    <w:lvl w:ilvl="3">
      <w:start w:val="1"/>
      <w:numFmt w:val="decimal"/>
      <w:lvlText w:val="%4."/>
      <w:lvlJc w:val="left"/>
      <w:pPr>
        <w:tabs>
          <w:tab w:val="num" w:pos="0"/>
        </w:tabs>
        <w:ind w:left="2738" w:hanging="360"/>
      </w:pPr>
      <w:rPr/>
    </w:lvl>
    <w:lvl w:ilvl="4">
      <w:start w:val="1"/>
      <w:numFmt w:val="lowerLetter"/>
      <w:lvlText w:val="%5."/>
      <w:lvlJc w:val="left"/>
      <w:pPr>
        <w:tabs>
          <w:tab w:val="num" w:pos="0"/>
        </w:tabs>
        <w:ind w:left="3458" w:hanging="360"/>
      </w:pPr>
      <w:rPr/>
    </w:lvl>
    <w:lvl w:ilvl="5">
      <w:start w:val="1"/>
      <w:numFmt w:val="lowerRoman"/>
      <w:lvlText w:val="%6."/>
      <w:lvlJc w:val="right"/>
      <w:pPr>
        <w:tabs>
          <w:tab w:val="num" w:pos="0"/>
        </w:tabs>
        <w:ind w:left="4178" w:hanging="180"/>
      </w:pPr>
      <w:rPr/>
    </w:lvl>
    <w:lvl w:ilvl="6">
      <w:start w:val="1"/>
      <w:numFmt w:val="decimal"/>
      <w:lvlText w:val="%7."/>
      <w:lvlJc w:val="left"/>
      <w:pPr>
        <w:tabs>
          <w:tab w:val="num" w:pos="0"/>
        </w:tabs>
        <w:ind w:left="4898" w:hanging="360"/>
      </w:pPr>
      <w:rPr/>
    </w:lvl>
    <w:lvl w:ilvl="7">
      <w:start w:val="1"/>
      <w:numFmt w:val="lowerLetter"/>
      <w:lvlText w:val="%8."/>
      <w:lvlJc w:val="left"/>
      <w:pPr>
        <w:tabs>
          <w:tab w:val="num" w:pos="0"/>
        </w:tabs>
        <w:ind w:left="5618" w:hanging="360"/>
      </w:pPr>
      <w:rPr/>
    </w:lvl>
    <w:lvl w:ilvl="8">
      <w:start w:val="1"/>
      <w:numFmt w:val="lowerRoman"/>
      <w:lvlText w:val="%9."/>
      <w:lvlJc w:val="right"/>
      <w:pPr>
        <w:tabs>
          <w:tab w:val="num" w:pos="0"/>
        </w:tabs>
        <w:ind w:left="6338" w:hanging="180"/>
      </w:pPr>
      <w:rPr/>
    </w:lvl>
  </w:abstractNum>
  <w:abstractNum w:abstractNumId="6">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b w:val="false"/>
        <w:i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lowerLetter"/>
      <w:lvlText w:val="%1)"/>
      <w:lvlJc w:val="left"/>
      <w:pPr>
        <w:tabs>
          <w:tab w:val="num" w:pos="0"/>
        </w:tabs>
        <w:ind w:left="928" w:hanging="360"/>
      </w:pPr>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11">
    <w:lvl w:ilvl="0">
      <w:start w:val="1"/>
      <w:numFmt w:val="decimal"/>
      <w:lvlText w:val="%1."/>
      <w:lvlJc w:val="left"/>
      <w:pPr>
        <w:tabs>
          <w:tab w:val="num" w:pos="0"/>
        </w:tabs>
        <w:ind w:left="720" w:hanging="360"/>
      </w:pPr>
      <w:rPr>
        <w:i w:val="false"/>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4">
    <w:lvl w:ilvl="0">
      <w:start w:val="1"/>
      <w:numFmt w:val="lowerLetter"/>
      <w:lvlText w:val="%1)"/>
      <w:lvlJc w:val="left"/>
      <w:pPr>
        <w:tabs>
          <w:tab w:val="num" w:pos="0"/>
        </w:tabs>
        <w:ind w:left="928" w:hanging="360"/>
      </w:pPr>
      <w:rPr>
        <w:rFonts w:ascii="Tahoma" w:hAnsi="Tahoma" w:cs="Times New Roman"/>
        <w:b w:val="false"/>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360" w:hanging="360"/>
      </w:pPr>
      <w:rPr>
        <w:rFonts w:ascii="Tahoma" w:hAnsi="Tahoma" w:cs="Times New Roman"/>
        <w:b w:val="false"/>
        <w:sz w:val="22"/>
        <w:szCs w:val="22"/>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6">
    <w:lvl w:ilvl="0">
      <w:start w:val="1"/>
      <w:numFmt w:val="decimal"/>
      <w:lvlText w:val="%1."/>
      <w:lvlJc w:val="left"/>
      <w:pPr>
        <w:tabs>
          <w:tab w:val="num" w:pos="0"/>
        </w:tabs>
        <w:ind w:left="360" w:hanging="360"/>
      </w:pPr>
      <w:rPr>
        <w:b w:val="false"/>
        <w:i w:val="false"/>
        <w:iCs w:val="false"/>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lowerLetter"/>
      <w:lvlText w:val="%1)"/>
      <w:lvlJc w:val="left"/>
      <w:pPr>
        <w:tabs>
          <w:tab w:val="num" w:pos="720"/>
        </w:tabs>
        <w:ind w:left="720" w:hanging="380"/>
      </w:pPr>
      <w:rPr>
        <w:rFonts w:ascii="Tahoma" w:hAnsi="Tahoma"/>
        <w:i w:val="false"/>
        <w:iCs w:val="false"/>
        <w:sz w:val="20"/>
        <w:szCs w:val="20"/>
      </w:rPr>
    </w:lvl>
    <w:lvl w:ilvl="1">
      <w:start w:val="1"/>
      <w:numFmt w:val="lowerLetter"/>
      <w:lvlText w:val="%2."/>
      <w:lvlJc w:val="left"/>
      <w:pPr>
        <w:tabs>
          <w:tab w:val="num" w:pos="1423"/>
        </w:tabs>
        <w:ind w:left="1423" w:hanging="360"/>
      </w:pPr>
      <w:rPr/>
    </w:lvl>
    <w:lvl w:ilvl="2">
      <w:start w:val="1"/>
      <w:numFmt w:val="lowerRoman"/>
      <w:lvlText w:val="%3."/>
      <w:lvlJc w:val="right"/>
      <w:pPr>
        <w:tabs>
          <w:tab w:val="num" w:pos="2143"/>
        </w:tabs>
        <w:ind w:left="2143" w:hanging="180"/>
      </w:pPr>
      <w:rPr/>
    </w:lvl>
    <w:lvl w:ilvl="3">
      <w:start w:val="1"/>
      <w:numFmt w:val="decimal"/>
      <w:lvlText w:val="%4."/>
      <w:lvlJc w:val="left"/>
      <w:pPr>
        <w:tabs>
          <w:tab w:val="num" w:pos="2863"/>
        </w:tabs>
        <w:ind w:left="2863" w:hanging="360"/>
      </w:pPr>
      <w:rPr/>
    </w:lvl>
    <w:lvl w:ilvl="4">
      <w:start w:val="1"/>
      <w:numFmt w:val="lowerLetter"/>
      <w:lvlText w:val="%5."/>
      <w:lvlJc w:val="left"/>
      <w:pPr>
        <w:tabs>
          <w:tab w:val="num" w:pos="3583"/>
        </w:tabs>
        <w:ind w:left="3583" w:hanging="360"/>
      </w:pPr>
      <w:rPr/>
    </w:lvl>
    <w:lvl w:ilvl="5">
      <w:start w:val="1"/>
      <w:numFmt w:val="lowerRoman"/>
      <w:lvlText w:val="%6."/>
      <w:lvlJc w:val="right"/>
      <w:pPr>
        <w:tabs>
          <w:tab w:val="num" w:pos="4303"/>
        </w:tabs>
        <w:ind w:left="4303" w:hanging="180"/>
      </w:pPr>
      <w:rPr/>
    </w:lvl>
    <w:lvl w:ilvl="6">
      <w:start w:val="1"/>
      <w:numFmt w:val="decimal"/>
      <w:lvlText w:val="%7."/>
      <w:lvlJc w:val="left"/>
      <w:pPr>
        <w:tabs>
          <w:tab w:val="num" w:pos="5023"/>
        </w:tabs>
        <w:ind w:left="5023" w:hanging="360"/>
      </w:pPr>
      <w:rPr/>
    </w:lvl>
    <w:lvl w:ilvl="7">
      <w:start w:val="1"/>
      <w:numFmt w:val="lowerLetter"/>
      <w:lvlText w:val="%8."/>
      <w:lvlJc w:val="left"/>
      <w:pPr>
        <w:tabs>
          <w:tab w:val="num" w:pos="5743"/>
        </w:tabs>
        <w:ind w:left="5743" w:hanging="360"/>
      </w:pPr>
      <w:rPr/>
    </w:lvl>
    <w:lvl w:ilvl="8">
      <w:start w:val="1"/>
      <w:numFmt w:val="lowerRoman"/>
      <w:lvlText w:val="%9."/>
      <w:lvlJc w:val="right"/>
      <w:pPr>
        <w:tabs>
          <w:tab w:val="num" w:pos="6463"/>
        </w:tabs>
        <w:ind w:left="6463" w:hanging="18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1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cs-CZ" w:eastAsia="cs-CZ"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utoRedefine/>
    <w:qFormat/>
    <w:rsid w:val="00b4759f"/>
    <w:pPr>
      <w:widowControl w:val="false"/>
      <w:suppressAutoHyphens w:val="true"/>
      <w:bidi w:val="0"/>
      <w:spacing w:before="0" w:after="0"/>
      <w:ind w:left="360"/>
      <w:jc w:val="left"/>
    </w:pPr>
    <w:rPr>
      <w:rFonts w:ascii="Times New Roman" w:hAnsi="Times New Roman" w:eastAsia="Times New Roman" w:cs="Times New Roman"/>
      <w:i w:val="false"/>
      <w:iCs w:val="false"/>
      <w:color w:val="auto"/>
      <w:kern w:val="0"/>
      <w:sz w:val="24"/>
      <w:szCs w:val="24"/>
      <w:lang w:val="cs-CZ" w:eastAsia="cs-CZ" w:bidi="ar-SA"/>
    </w:rPr>
  </w:style>
  <w:style w:type="paragraph" w:styleId="Heading1">
    <w:name w:val="heading 1"/>
    <w:next w:val="Normal"/>
    <w:link w:val="Nadpis1Char"/>
    <w:autoRedefine/>
    <w:qFormat/>
    <w:rsid w:val="009200c0"/>
    <w:pPr>
      <w:keepNext w:val="true"/>
      <w:widowControl/>
      <w:suppressAutoHyphens w:val="true"/>
      <w:bidi w:val="0"/>
      <w:spacing w:before="0" w:after="0"/>
      <w:jc w:val="left"/>
      <w:outlineLvl w:val="0"/>
    </w:pPr>
    <w:rPr>
      <w:rFonts w:ascii="Arial" w:hAnsi="Arial" w:eastAsia="Times New Roman" w:cs="Arial"/>
      <w:b/>
      <w:bCs/>
      <w:color w:val="auto"/>
      <w:kern w:val="2"/>
      <w:sz w:val="60"/>
      <w:szCs w:val="32"/>
      <w:lang w:val="cs-CZ" w:eastAsia="cs-CZ" w:bidi="ar-SA"/>
    </w:rPr>
  </w:style>
  <w:style w:type="paragraph" w:styleId="Heading2">
    <w:name w:val="heading 2"/>
    <w:next w:val="Normal"/>
    <w:link w:val="Nadpis2Char"/>
    <w:autoRedefine/>
    <w:qFormat/>
    <w:rsid w:val="009200c0"/>
    <w:pPr>
      <w:keepNext w:val="true"/>
      <w:widowControl/>
      <w:suppressAutoHyphens w:val="true"/>
      <w:bidi w:val="0"/>
      <w:spacing w:before="120" w:after="0"/>
      <w:jc w:val="left"/>
      <w:outlineLvl w:val="1"/>
    </w:pPr>
    <w:rPr>
      <w:rFonts w:ascii="Arial" w:hAnsi="Arial" w:eastAsia="Times New Roman" w:cs="Times New Roman"/>
      <w:b/>
      <w:color w:val="auto"/>
      <w:kern w:val="0"/>
      <w:sz w:val="40"/>
      <w:szCs w:val="20"/>
      <w:lang w:val="cs-CZ" w:eastAsia="cs-CZ" w:bidi="ar-SA"/>
    </w:rPr>
  </w:style>
  <w:style w:type="paragraph" w:styleId="Heading3">
    <w:name w:val="heading 3"/>
    <w:next w:val="Normal"/>
    <w:link w:val="Nadpis3Char"/>
    <w:autoRedefine/>
    <w:qFormat/>
    <w:rsid w:val="009200c0"/>
    <w:pPr>
      <w:keepNext w:val="true"/>
      <w:widowControl w:val="false"/>
      <w:tabs>
        <w:tab w:val="clear" w:pos="708"/>
        <w:tab w:val="left" w:pos="0" w:leader="none"/>
      </w:tabs>
      <w:suppressAutoHyphens w:val="true"/>
      <w:bidi w:val="0"/>
      <w:spacing w:before="0" w:after="0"/>
      <w:jc w:val="both"/>
      <w:outlineLvl w:val="2"/>
    </w:pPr>
    <w:rPr>
      <w:rFonts w:ascii="Arial" w:hAnsi="Arial" w:eastAsia="Times New Roman" w:cs="Times New Roman"/>
      <w:b/>
      <w:color w:val="auto"/>
      <w:kern w:val="0"/>
      <w:sz w:val="24"/>
      <w:szCs w:val="24"/>
      <w:lang w:val="cs-CZ" w:eastAsia="cs-CZ" w:bidi="ar-SA"/>
    </w:rPr>
  </w:style>
  <w:style w:type="paragraph" w:styleId="Heading4">
    <w:name w:val="heading 4"/>
    <w:next w:val="Normal"/>
    <w:link w:val="Nadpis4Char"/>
    <w:autoRedefine/>
    <w:qFormat/>
    <w:rsid w:val="009200c0"/>
    <w:pPr>
      <w:keepNext w:val="true"/>
      <w:widowControl/>
      <w:suppressAutoHyphens w:val="true"/>
      <w:bidi w:val="0"/>
      <w:spacing w:before="0" w:after="0"/>
      <w:jc w:val="left"/>
      <w:outlineLvl w:val="3"/>
    </w:pPr>
    <w:rPr>
      <w:rFonts w:ascii="Arial" w:hAnsi="Arial" w:eastAsia="Times New Roman" w:cs="Times New Roman"/>
      <w:b/>
      <w:color w:val="auto"/>
      <w:kern w:val="0"/>
      <w:sz w:val="20"/>
      <w:szCs w:val="20"/>
      <w:lang w:val="cs-CZ" w:eastAsia="cs-CZ" w:bidi="ar-SA"/>
    </w:rPr>
  </w:style>
  <w:style w:type="paragraph" w:styleId="Heading5">
    <w:name w:val="heading 5"/>
    <w:next w:val="Normal"/>
    <w:link w:val="Nadpis5Char"/>
    <w:autoRedefine/>
    <w:qFormat/>
    <w:rsid w:val="009200c0"/>
    <w:pPr>
      <w:keepNext w:val="true"/>
      <w:widowControl/>
      <w:suppressAutoHyphens w:val="true"/>
      <w:bidi w:val="0"/>
      <w:spacing w:before="60" w:after="60"/>
      <w:jc w:val="left"/>
      <w:outlineLvl w:val="4"/>
    </w:pPr>
    <w:rPr>
      <w:rFonts w:ascii="Arial" w:hAnsi="Arial" w:eastAsia="Times New Roman" w:cs="Times New Roman"/>
      <w:b/>
      <w:color w:val="auto"/>
      <w:kern w:val="0"/>
      <w:sz w:val="24"/>
      <w:szCs w:val="20"/>
      <w:lang w:val="cs-CZ" w:eastAsia="cs-CZ" w:bidi="ar-SA"/>
    </w:rPr>
  </w:style>
  <w:style w:type="paragraph" w:styleId="Heading6">
    <w:name w:val="heading 6"/>
    <w:next w:val="Normal"/>
    <w:link w:val="Nadpis6Char"/>
    <w:autoRedefine/>
    <w:qFormat/>
    <w:rsid w:val="009200c0"/>
    <w:pPr>
      <w:keepNext w:val="true"/>
      <w:widowControl/>
      <w:suppressAutoHyphens w:val="true"/>
      <w:bidi w:val="0"/>
      <w:spacing w:lineRule="auto" w:line="360" w:before="60" w:after="60"/>
      <w:jc w:val="left"/>
      <w:outlineLvl w:val="5"/>
    </w:pPr>
    <w:rPr>
      <w:rFonts w:ascii="Arial" w:hAnsi="Arial" w:eastAsia="Times New Roman" w:cs="Times New Roman"/>
      <w:b/>
      <w:color w:val="auto"/>
      <w:kern w:val="0"/>
      <w:sz w:val="24"/>
      <w:szCs w:val="20"/>
      <w:lang w:val="cs-CZ" w:eastAsia="cs-CZ" w:bidi="ar-SA"/>
    </w:rPr>
  </w:style>
  <w:style w:type="character" w:styleId="DefaultParagraphFont" w:default="1">
    <w:name w:val="Default Paragraph Font"/>
    <w:uiPriority w:val="1"/>
    <w:semiHidden/>
    <w:unhideWhenUsed/>
    <w:qFormat/>
    <w:rPr/>
  </w:style>
  <w:style w:type="character" w:styleId="Nadpis1Char" w:customStyle="1">
    <w:name w:val="Nadpis 1 Char"/>
    <w:qFormat/>
    <w:rsid w:val="009200c0"/>
    <w:rPr>
      <w:rFonts w:ascii="Arial" w:hAnsi="Arial" w:eastAsia="Times New Roman" w:cs="Arial"/>
      <w:b/>
      <w:bCs/>
      <w:kern w:val="2"/>
      <w:sz w:val="60"/>
      <w:szCs w:val="32"/>
      <w:lang w:eastAsia="cs-CZ"/>
    </w:rPr>
  </w:style>
  <w:style w:type="character" w:styleId="Nadpis2Char" w:customStyle="1">
    <w:name w:val="Nadpis 2 Char"/>
    <w:qFormat/>
    <w:rsid w:val="009200c0"/>
    <w:rPr>
      <w:rFonts w:ascii="Arial" w:hAnsi="Arial" w:eastAsia="Times New Roman" w:cs="Times New Roman"/>
      <w:b/>
      <w:sz w:val="40"/>
      <w:szCs w:val="20"/>
      <w:lang w:eastAsia="cs-CZ"/>
    </w:rPr>
  </w:style>
  <w:style w:type="character" w:styleId="Nadpis3Char" w:customStyle="1">
    <w:name w:val="Nadpis 3 Char"/>
    <w:qFormat/>
    <w:rsid w:val="009200c0"/>
    <w:rPr>
      <w:rFonts w:ascii="Arial" w:hAnsi="Arial" w:eastAsia="Times New Roman" w:cs="Times New Roman"/>
      <w:b/>
      <w:sz w:val="24"/>
      <w:szCs w:val="24"/>
      <w:lang w:eastAsia="cs-CZ"/>
    </w:rPr>
  </w:style>
  <w:style w:type="character" w:styleId="Nadpis4Char" w:customStyle="1">
    <w:name w:val="Nadpis 4 Char"/>
    <w:qFormat/>
    <w:rsid w:val="009200c0"/>
    <w:rPr>
      <w:rFonts w:ascii="Arial" w:hAnsi="Arial" w:eastAsia="Times New Roman" w:cs="Times New Roman"/>
      <w:b/>
      <w:sz w:val="20"/>
      <w:szCs w:val="20"/>
      <w:lang w:eastAsia="cs-CZ"/>
    </w:rPr>
  </w:style>
  <w:style w:type="character" w:styleId="Nadpis5Char" w:customStyle="1">
    <w:name w:val="Nadpis 5 Char"/>
    <w:qFormat/>
    <w:rsid w:val="009200c0"/>
    <w:rPr>
      <w:rFonts w:ascii="Arial" w:hAnsi="Arial" w:eastAsia="Times New Roman" w:cs="Times New Roman"/>
      <w:b/>
      <w:sz w:val="24"/>
      <w:szCs w:val="20"/>
      <w:lang w:eastAsia="cs-CZ"/>
    </w:rPr>
  </w:style>
  <w:style w:type="character" w:styleId="Nadpis6Char" w:customStyle="1">
    <w:name w:val="Nadpis 6 Char"/>
    <w:qFormat/>
    <w:rsid w:val="009200c0"/>
    <w:rPr>
      <w:rFonts w:ascii="Arial" w:hAnsi="Arial" w:eastAsia="Times New Roman" w:cs="Times New Roman"/>
      <w:b/>
      <w:sz w:val="24"/>
      <w:szCs w:val="20"/>
      <w:lang w:eastAsia="cs-CZ"/>
    </w:rPr>
  </w:style>
  <w:style w:type="character" w:styleId="PopisekobrzkuChar" w:customStyle="1">
    <w:name w:val="Popisek obrázku Char"/>
    <w:link w:val="Popisekobrzku"/>
    <w:qFormat/>
    <w:rsid w:val="009200c0"/>
    <w:rPr>
      <w:rFonts w:ascii="Arial" w:hAnsi="Arial"/>
      <w:b/>
      <w:lang w:eastAsia="cs-CZ"/>
    </w:rPr>
  </w:style>
  <w:style w:type="character" w:styleId="PageNumber">
    <w:name w:val="page number"/>
    <w:rsid w:val="009200c0"/>
    <w:rPr>
      <w:rFonts w:ascii="Arial" w:hAnsi="Arial"/>
      <w:b/>
      <w:color w:val="003C69"/>
      <w:sz w:val="20"/>
    </w:rPr>
  </w:style>
  <w:style w:type="character" w:styleId="ZhlavChar" w:customStyle="1">
    <w:name w:val="Záhlaví Char"/>
    <w:qFormat/>
    <w:rsid w:val="009200c0"/>
    <w:rPr>
      <w:rFonts w:ascii="Arial" w:hAnsi="Arial" w:eastAsia="Times New Roman" w:cs="Times New Roman"/>
      <w:color w:val="003C69"/>
      <w:sz w:val="20"/>
      <w:szCs w:val="20"/>
      <w:lang w:eastAsia="cs-CZ"/>
    </w:rPr>
  </w:style>
  <w:style w:type="character" w:styleId="ZpatChar" w:customStyle="1">
    <w:name w:val="Zápatí Char"/>
    <w:qFormat/>
    <w:rsid w:val="009200c0"/>
    <w:rPr>
      <w:rFonts w:ascii="Arial" w:hAnsi="Arial" w:eastAsia="Times New Roman" w:cs="Arial"/>
      <w:bCs/>
      <w:color w:val="003C69"/>
      <w:sz w:val="16"/>
      <w:szCs w:val="20"/>
      <w:lang w:eastAsia="cs-CZ"/>
    </w:rPr>
  </w:style>
  <w:style w:type="character" w:styleId="ZkladntextChar" w:customStyle="1">
    <w:name w:val="Základní text Char"/>
    <w:qFormat/>
    <w:rsid w:val="009200c0"/>
    <w:rPr>
      <w:rFonts w:ascii="Times New Roman" w:hAnsi="Times New Roman" w:eastAsia="Times New Roman" w:cs="Times New Roman"/>
      <w:sz w:val="24"/>
      <w:szCs w:val="20"/>
      <w:lang w:eastAsia="ar-SA"/>
    </w:rPr>
  </w:style>
  <w:style w:type="character" w:styleId="ZkladntextodsazenChar" w:customStyle="1">
    <w:name w:val="Základní text odsazený Char"/>
    <w:qFormat/>
    <w:rsid w:val="009200c0"/>
    <w:rPr>
      <w:rFonts w:ascii="Times New Roman" w:hAnsi="Times New Roman" w:eastAsia="Times New Roman" w:cs="Times New Roman"/>
      <w:color w:val="000000"/>
      <w:sz w:val="24"/>
      <w:szCs w:val="20"/>
      <w:lang w:eastAsia="ar-SA"/>
    </w:rPr>
  </w:style>
  <w:style w:type="character" w:styleId="NzevChar" w:customStyle="1">
    <w:name w:val="Název Char"/>
    <w:qFormat/>
    <w:rsid w:val="009200c0"/>
    <w:rPr>
      <w:rFonts w:ascii="Bookman Old Style" w:hAnsi="Bookman Old Style" w:eastAsia="Times New Roman" w:cs="Times New Roman"/>
      <w:sz w:val="32"/>
      <w:szCs w:val="24"/>
      <w:lang w:eastAsia="ar-SA"/>
    </w:rPr>
  </w:style>
  <w:style w:type="character" w:styleId="PodnadpisChar" w:customStyle="1">
    <w:name w:val="Podnadpis Char"/>
    <w:qFormat/>
    <w:rsid w:val="009200c0"/>
    <w:rPr>
      <w:rFonts w:ascii="Cambria" w:hAnsi="Cambria" w:eastAsia="Times New Roman" w:cs="Times New Roman"/>
      <w:sz w:val="24"/>
      <w:szCs w:val="24"/>
      <w:lang w:eastAsia="cs-CZ"/>
    </w:rPr>
  </w:style>
  <w:style w:type="character" w:styleId="TextbublinyChar" w:customStyle="1">
    <w:name w:val="Text bubliny Char"/>
    <w:link w:val="BalloonText"/>
    <w:qFormat/>
    <w:rsid w:val="009200c0"/>
    <w:rPr>
      <w:rFonts w:ascii="Tahoma" w:hAnsi="Tahoma" w:eastAsia="Times New Roman" w:cs="Times New Roman"/>
      <w:sz w:val="16"/>
      <w:szCs w:val="16"/>
      <w:lang w:eastAsia="cs-CZ"/>
    </w:rPr>
  </w:style>
  <w:style w:type="character" w:styleId="Hyperlink">
    <w:name w:val="Hyperlink"/>
    <w:uiPriority w:val="99"/>
    <w:unhideWhenUsed/>
    <w:rsid w:val="00832f02"/>
    <w:rPr>
      <w:color w:val="0000FF"/>
      <w:u w:val="single"/>
    </w:rPr>
  </w:style>
  <w:style w:type="character" w:styleId="CommentReference">
    <w:name w:val="annotation reference"/>
    <w:basedOn w:val="DefaultParagraphFont"/>
    <w:uiPriority w:val="99"/>
    <w:semiHidden/>
    <w:unhideWhenUsed/>
    <w:qFormat/>
    <w:rsid w:val="00fa2b78"/>
    <w:rPr>
      <w:sz w:val="16"/>
      <w:szCs w:val="16"/>
    </w:rPr>
  </w:style>
  <w:style w:type="character" w:styleId="TextkomenteChar" w:customStyle="1">
    <w:name w:val="Text komentáře Char"/>
    <w:basedOn w:val="DefaultParagraphFont"/>
    <w:uiPriority w:val="99"/>
    <w:semiHidden/>
    <w:qFormat/>
    <w:rsid w:val="00fa2b78"/>
    <w:rPr>
      <w:rFonts w:ascii="Times New Roman" w:hAnsi="Times New Roman" w:eastAsia="Times New Roman"/>
      <w:i/>
      <w:iCs/>
    </w:rPr>
  </w:style>
  <w:style w:type="character" w:styleId="PedmtkomenteChar" w:customStyle="1">
    <w:name w:val="Předmět komentáře Char"/>
    <w:basedOn w:val="TextkomenteChar"/>
    <w:link w:val="annotationsubject"/>
    <w:uiPriority w:val="99"/>
    <w:semiHidden/>
    <w:qFormat/>
    <w:rsid w:val="00fa2b78"/>
    <w:rPr>
      <w:rFonts w:ascii="Times New Roman" w:hAnsi="Times New Roman" w:eastAsia="Times New Roman"/>
      <w:b/>
      <w:bCs/>
      <w:i/>
      <w:iCs/>
    </w:rPr>
  </w:style>
  <w:style w:type="character" w:styleId="UnresolvedMention">
    <w:name w:val="Unresolved Mention"/>
    <w:basedOn w:val="DefaultParagraphFont"/>
    <w:uiPriority w:val="99"/>
    <w:semiHidden/>
    <w:unhideWhenUsed/>
    <w:qFormat/>
    <w:rsid w:val="005974b6"/>
    <w:rPr>
      <w:color w:val="605E5C"/>
      <w:shd w:fill="E1DFDD" w:val="clear"/>
    </w:rPr>
  </w:style>
  <w:style w:type="paragraph" w:styleId="Nadpis">
    <w:name w:val="Nadpis"/>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ZkladntextChar"/>
    <w:rsid w:val="009200c0"/>
    <w:pPr>
      <w:widowControl/>
      <w:suppressAutoHyphens w:val="true"/>
      <w:spacing w:before="120" w:after="0"/>
      <w:jc w:val="both"/>
    </w:pPr>
    <w:rPr>
      <w:szCs w:val="20"/>
      <w:lang w:eastAsia="ar-SA"/>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ejstk">
    <w:name w:val="Rejstřík"/>
    <w:basedOn w:val="Normal"/>
    <w:qFormat/>
    <w:pPr>
      <w:suppressLineNumbers/>
    </w:pPr>
    <w:rPr>
      <w:rFonts w:cs="Lucida Sans"/>
    </w:rPr>
  </w:style>
  <w:style w:type="paragraph" w:styleId="Nadpisuser">
    <w:name w:val="Nadpis (user)"/>
    <w:basedOn w:val="Normal"/>
    <w:next w:val="BodyText"/>
    <w:qFormat/>
    <w:pPr>
      <w:keepNext w:val="true"/>
      <w:spacing w:before="240" w:after="120"/>
    </w:pPr>
    <w:rPr>
      <w:rFonts w:ascii="Liberation Sans" w:hAnsi="Liberation Sans" w:eastAsia="Microsoft YaHei" w:cs="Lucida Sans"/>
      <w:sz w:val="28"/>
      <w:szCs w:val="28"/>
    </w:rPr>
  </w:style>
  <w:style w:type="paragraph" w:styleId="Rejstkuser">
    <w:name w:val="Rejstřík (user)"/>
    <w:basedOn w:val="Normal"/>
    <w:qFormat/>
    <w:pPr>
      <w:suppressLineNumbers/>
    </w:pPr>
    <w:rPr>
      <w:rFonts w:cs="Lucida Sans"/>
    </w:rPr>
  </w:style>
  <w:style w:type="paragraph" w:styleId="zhlav" w:customStyle="1">
    <w:name w:val="záhlaví"/>
    <w:qFormat/>
    <w:rsid w:val="009200c0"/>
    <w:pPr>
      <w:widowControl/>
      <w:suppressAutoHyphens w:val="true"/>
      <w:bidi w:val="0"/>
      <w:spacing w:before="0" w:after="0"/>
      <w:jc w:val="right"/>
    </w:pPr>
    <w:rPr>
      <w:rFonts w:ascii="Arial" w:hAnsi="Arial" w:eastAsia="Times New Roman" w:cs="Arial"/>
      <w:b/>
      <w:color w:val="00ADD0"/>
      <w:kern w:val="0"/>
      <w:sz w:val="40"/>
      <w:szCs w:val="40"/>
      <w:lang w:val="cs-CZ" w:eastAsia="cs-CZ" w:bidi="ar-SA"/>
    </w:rPr>
  </w:style>
  <w:style w:type="paragraph" w:styleId="Titulkahlavninadpis" w:customStyle="1">
    <w:name w:val="Titulka_hlavni nadpis"/>
    <w:next w:val="Normal"/>
    <w:autoRedefine/>
    <w:qFormat/>
    <w:rsid w:val="009200c0"/>
    <w:pPr>
      <w:widowControl/>
      <w:suppressAutoHyphens w:val="true"/>
      <w:bidi w:val="0"/>
      <w:spacing w:before="0" w:after="0"/>
      <w:jc w:val="left"/>
    </w:pPr>
    <w:rPr>
      <w:rFonts w:ascii="Arial" w:hAnsi="Arial" w:eastAsia="Times New Roman" w:cs="Times New Roman"/>
      <w:b/>
      <w:color w:val="003C69"/>
      <w:kern w:val="0"/>
      <w:sz w:val="120"/>
      <w:szCs w:val="20"/>
      <w:lang w:val="cs-CZ" w:eastAsia="cs-CZ" w:bidi="ar-SA"/>
    </w:rPr>
  </w:style>
  <w:style w:type="paragraph" w:styleId="Titulkapodnadpis" w:customStyle="1">
    <w:name w:val="Titulka_podnadpis"/>
    <w:basedOn w:val="Normal"/>
    <w:next w:val="Normal"/>
    <w:autoRedefine/>
    <w:qFormat/>
    <w:rsid w:val="009200c0"/>
    <w:pPr/>
    <w:rPr>
      <w:rFonts w:ascii="Arial" w:hAnsi="Arial"/>
      <w:b/>
      <w:color w:val="003C69"/>
      <w:sz w:val="40"/>
    </w:rPr>
  </w:style>
  <w:style w:type="paragraph" w:styleId="JVSzhlavnzevdokumentu" w:customStyle="1">
    <w:name w:val="JVS_záhlaví_název dokumentu"/>
    <w:basedOn w:val="Header"/>
    <w:qFormat/>
    <w:rsid w:val="009200c0"/>
    <w:pPr>
      <w:widowControl w:val="false"/>
      <w:jc w:val="right"/>
    </w:pPr>
    <w:rPr>
      <w:rFonts w:cs="Arial"/>
      <w:b/>
    </w:rPr>
  </w:style>
  <w:style w:type="paragraph" w:styleId="Zhlavazpat">
    <w:name w:val="Záhlaví a zápatí"/>
    <w:basedOn w:val="Normal"/>
    <w:qFormat/>
    <w:pPr/>
    <w:rPr/>
  </w:style>
  <w:style w:type="paragraph" w:styleId="Header">
    <w:name w:val="header"/>
    <w:link w:val="ZhlavChar"/>
    <w:rsid w:val="009200c0"/>
    <w:pPr>
      <w:widowControl/>
      <w:tabs>
        <w:tab w:val="clear" w:pos="708"/>
        <w:tab w:val="center" w:pos="4536" w:leader="none"/>
        <w:tab w:val="right" w:pos="9072" w:leader="none"/>
      </w:tabs>
      <w:suppressAutoHyphens w:val="true"/>
      <w:bidi w:val="0"/>
      <w:spacing w:before="0" w:after="0"/>
      <w:jc w:val="left"/>
    </w:pPr>
    <w:rPr>
      <w:rFonts w:ascii="Arial" w:hAnsi="Arial" w:eastAsia="Times New Roman" w:cs="Times New Roman"/>
      <w:color w:val="003C69"/>
      <w:kern w:val="0"/>
      <w:sz w:val="20"/>
      <w:szCs w:val="20"/>
      <w:lang w:val="cs-CZ" w:eastAsia="cs-CZ" w:bidi="ar-SA"/>
    </w:rPr>
  </w:style>
  <w:style w:type="paragraph" w:styleId="Zhlavazpatuser">
    <w:name w:val="Záhlaví a zápatí (user)"/>
    <w:basedOn w:val="Normal"/>
    <w:qFormat/>
    <w:pPr/>
    <w:rPr/>
  </w:style>
  <w:style w:type="paragraph" w:styleId="Popisekobrzku" w:customStyle="1">
    <w:name w:val="Popisek obrázku"/>
    <w:next w:val="Normal"/>
    <w:link w:val="PopisekobrzkuChar"/>
    <w:autoRedefine/>
    <w:qFormat/>
    <w:rsid w:val="009200c0"/>
    <w:pPr>
      <w:widowControl/>
      <w:tabs>
        <w:tab w:val="clear" w:pos="708"/>
        <w:tab w:val="left" w:pos="4962" w:leader="none"/>
      </w:tabs>
      <w:suppressAutoHyphens w:val="true"/>
      <w:bidi w:val="0"/>
      <w:spacing w:before="0" w:after="0"/>
      <w:jc w:val="left"/>
    </w:pPr>
    <w:rPr>
      <w:rFonts w:ascii="Arial" w:hAnsi="Arial" w:eastAsia="Calibri" w:cs="Times New Roman"/>
      <w:b/>
      <w:color w:val="auto"/>
      <w:kern w:val="0"/>
      <w:sz w:val="22"/>
      <w:szCs w:val="22"/>
      <w:lang w:val="cs-CZ" w:eastAsia="cs-CZ" w:bidi="ar-SA"/>
    </w:rPr>
  </w:style>
  <w:style w:type="paragraph" w:styleId="Tabulkanzev" w:customStyle="1">
    <w:name w:val="Tabulka název"/>
    <w:autoRedefine/>
    <w:qFormat/>
    <w:rsid w:val="009200c0"/>
    <w:pPr>
      <w:widowControl/>
      <w:suppressAutoHyphens w:val="true"/>
      <w:bidi w:val="0"/>
      <w:spacing w:before="0" w:after="0"/>
      <w:jc w:val="left"/>
    </w:pPr>
    <w:rPr>
      <w:rFonts w:ascii="Arial" w:hAnsi="Arial" w:eastAsia="Times New Roman" w:cs="Times New Roman"/>
      <w:b/>
      <w:color w:val="auto"/>
      <w:kern w:val="0"/>
      <w:sz w:val="24"/>
      <w:szCs w:val="20"/>
      <w:lang w:val="cs-CZ" w:eastAsia="cs-CZ" w:bidi="ar-SA"/>
    </w:rPr>
  </w:style>
  <w:style w:type="paragraph" w:styleId="Tabulkatext" w:customStyle="1">
    <w:name w:val="Tabulka text"/>
    <w:autoRedefine/>
    <w:qFormat/>
    <w:rsid w:val="009200c0"/>
    <w:pPr>
      <w:widowControl/>
      <w:suppressAutoHyphens w:val="true"/>
      <w:bidi w:val="0"/>
      <w:spacing w:before="0" w:after="0"/>
      <w:jc w:val="left"/>
    </w:pPr>
    <w:rPr>
      <w:rFonts w:ascii="Arial" w:hAnsi="Arial" w:eastAsia="Times New Roman" w:cs="Times New Roman"/>
      <w:color w:val="auto"/>
      <w:kern w:val="0"/>
      <w:sz w:val="20"/>
      <w:szCs w:val="20"/>
      <w:lang w:val="cs-CZ" w:eastAsia="cs-CZ" w:bidi="ar-SA"/>
    </w:rPr>
  </w:style>
  <w:style w:type="paragraph" w:styleId="Footer">
    <w:name w:val="footer"/>
    <w:link w:val="ZpatChar"/>
    <w:rsid w:val="009200c0"/>
    <w:pPr>
      <w:widowControl/>
      <w:tabs>
        <w:tab w:val="clear" w:pos="708"/>
        <w:tab w:val="center" w:pos="4536" w:leader="none"/>
        <w:tab w:val="right" w:pos="9072" w:leader="none"/>
      </w:tabs>
      <w:suppressAutoHyphens w:val="true"/>
      <w:bidi w:val="0"/>
      <w:spacing w:before="0" w:after="0"/>
      <w:jc w:val="left"/>
    </w:pPr>
    <w:rPr>
      <w:rFonts w:ascii="Arial" w:hAnsi="Arial" w:eastAsia="Times New Roman" w:cs="Arial"/>
      <w:bCs/>
      <w:color w:val="003C69"/>
      <w:kern w:val="0"/>
      <w:sz w:val="16"/>
      <w:szCs w:val="20"/>
      <w:lang w:val="cs-CZ" w:eastAsia="cs-CZ" w:bidi="ar-SA"/>
    </w:rPr>
  </w:style>
  <w:style w:type="paragraph" w:styleId="BodyTextIndent">
    <w:name w:val="Body Text Indent"/>
    <w:basedOn w:val="Normal"/>
    <w:link w:val="ZkladntextodsazenChar"/>
    <w:rsid w:val="009200c0"/>
    <w:pPr>
      <w:widowControl/>
      <w:suppressAutoHyphens w:val="true"/>
      <w:jc w:val="both"/>
    </w:pPr>
    <w:rPr>
      <w:color w:val="000000"/>
      <w:szCs w:val="20"/>
      <w:lang w:eastAsia="ar-SA"/>
    </w:rPr>
  </w:style>
  <w:style w:type="paragraph" w:styleId="Smlouva2" w:customStyle="1">
    <w:name w:val="Smlouva2"/>
    <w:basedOn w:val="Normal"/>
    <w:qFormat/>
    <w:rsid w:val="009200c0"/>
    <w:pPr>
      <w:suppressAutoHyphens w:val="true"/>
      <w:jc w:val="center"/>
    </w:pPr>
    <w:rPr>
      <w:b/>
      <w:lang w:eastAsia="ar-SA"/>
    </w:rPr>
  </w:style>
  <w:style w:type="paragraph" w:styleId="Smlouva-slo" w:customStyle="1">
    <w:name w:val="Smlouva-číslo"/>
    <w:basedOn w:val="Normal"/>
    <w:qFormat/>
    <w:rsid w:val="009200c0"/>
    <w:pPr>
      <w:numPr>
        <w:ilvl w:val="0"/>
        <w:numId w:val="1"/>
      </w:numPr>
      <w:suppressAutoHyphens w:val="true"/>
      <w:spacing w:lineRule="atLeast" w:line="240" w:before="120" w:after="0"/>
      <w:jc w:val="both"/>
    </w:pPr>
    <w:rPr>
      <w:lang w:eastAsia="ar-SA"/>
    </w:rPr>
  </w:style>
  <w:style w:type="paragraph" w:styleId="slovn" w:customStyle="1">
    <w:name w:val="Číslování"/>
    <w:basedOn w:val="Normal"/>
    <w:qFormat/>
    <w:rsid w:val="009200c0"/>
    <w:pPr>
      <w:numPr>
        <w:ilvl w:val="0"/>
        <w:numId w:val="2"/>
      </w:numPr>
      <w:suppressAutoHyphens w:val="true"/>
      <w:spacing w:before="120" w:after="0"/>
      <w:jc w:val="both"/>
    </w:pPr>
    <w:rPr>
      <w:lang w:eastAsia="ar-SA"/>
    </w:rPr>
  </w:style>
  <w:style w:type="paragraph" w:styleId="Zkladntextodsazen21" w:customStyle="1">
    <w:name w:val="Základní text odsazený 21"/>
    <w:basedOn w:val="Normal"/>
    <w:qFormat/>
    <w:rsid w:val="009200c0"/>
    <w:pPr>
      <w:suppressAutoHyphens w:val="true"/>
      <w:ind w:left="426"/>
      <w:jc w:val="both"/>
    </w:pPr>
    <w:rPr>
      <w:lang w:eastAsia="ar-SA"/>
    </w:rPr>
  </w:style>
  <w:style w:type="paragraph" w:styleId="Zkladntextodsazen31" w:customStyle="1">
    <w:name w:val="Základní text odsazený 31"/>
    <w:basedOn w:val="Normal"/>
    <w:qFormat/>
    <w:rsid w:val="009200c0"/>
    <w:pPr>
      <w:suppressAutoHyphens w:val="true"/>
      <w:ind w:left="397"/>
    </w:pPr>
    <w:rPr>
      <w:lang w:eastAsia="ar-SA"/>
    </w:rPr>
  </w:style>
  <w:style w:type="paragraph" w:styleId="Zkladntext31" w:customStyle="1">
    <w:name w:val="Základní text 31"/>
    <w:basedOn w:val="Normal"/>
    <w:qFormat/>
    <w:rsid w:val="009200c0"/>
    <w:pPr>
      <w:widowControl/>
      <w:suppressAutoHyphens w:val="true"/>
      <w:spacing w:before="120" w:after="0"/>
      <w:jc w:val="center"/>
    </w:pPr>
    <w:rPr>
      <w:rFonts w:ascii="Arial" w:hAnsi="Arial"/>
      <w:lang w:eastAsia="ar-SA"/>
    </w:rPr>
  </w:style>
  <w:style w:type="paragraph" w:styleId="NoSpacing">
    <w:name w:val="No Spacing"/>
    <w:uiPriority w:val="1"/>
    <w:qFormat/>
    <w:rsid w:val="009200c0"/>
    <w:pPr>
      <w:widowControl w:val="false"/>
      <w:suppressAutoHyphens w:val="true"/>
      <w:bidi w:val="0"/>
      <w:spacing w:before="0" w:after="0"/>
      <w:jc w:val="left"/>
    </w:pPr>
    <w:rPr>
      <w:rFonts w:ascii="Times New Roman" w:hAnsi="Times New Roman" w:eastAsia="Times New Roman" w:cs="Times New Roman"/>
      <w:color w:val="auto"/>
      <w:kern w:val="0"/>
      <w:sz w:val="22"/>
      <w:szCs w:val="20"/>
      <w:lang w:val="cs-CZ" w:eastAsia="cs-CZ" w:bidi="ar-SA"/>
    </w:rPr>
  </w:style>
  <w:style w:type="paragraph" w:styleId="Title">
    <w:name w:val="Title"/>
    <w:basedOn w:val="Normal"/>
    <w:next w:val="Subtitle"/>
    <w:link w:val="NzevChar"/>
    <w:qFormat/>
    <w:rsid w:val="009200c0"/>
    <w:pPr>
      <w:widowControl/>
      <w:suppressAutoHyphens w:val="true"/>
      <w:jc w:val="center"/>
    </w:pPr>
    <w:rPr>
      <w:rFonts w:ascii="Bookman Old Style" w:hAnsi="Bookman Old Style"/>
      <w:sz w:val="32"/>
      <w:lang w:eastAsia="ar-SA"/>
    </w:rPr>
  </w:style>
  <w:style w:type="paragraph" w:styleId="ListParagraph">
    <w:name w:val="List Paragraph"/>
    <w:basedOn w:val="Normal"/>
    <w:uiPriority w:val="34"/>
    <w:qFormat/>
    <w:rsid w:val="009200c0"/>
    <w:pPr>
      <w:widowControl/>
      <w:spacing w:before="0" w:after="200"/>
      <w:ind w:left="720"/>
      <w:contextualSpacing/>
    </w:pPr>
    <w:rPr>
      <w:rFonts w:ascii="Calibri" w:hAnsi="Calibri" w:eastAsia="Calibri"/>
      <w:szCs w:val="22"/>
      <w:lang w:eastAsia="en-US"/>
    </w:rPr>
  </w:style>
  <w:style w:type="paragraph" w:styleId="Subtitle">
    <w:name w:val="Subtitle"/>
    <w:basedOn w:val="Normal"/>
    <w:next w:val="Normal"/>
    <w:link w:val="PodnadpisChar"/>
    <w:qFormat/>
    <w:rsid w:val="009200c0"/>
    <w:pPr>
      <w:spacing w:before="0" w:after="60"/>
      <w:jc w:val="center"/>
      <w:outlineLvl w:val="1"/>
    </w:pPr>
    <w:rPr>
      <w:rFonts w:ascii="Cambria" w:hAnsi="Cambria"/>
    </w:rPr>
  </w:style>
  <w:style w:type="paragraph" w:styleId="Zkladntext21" w:customStyle="1">
    <w:name w:val="Základní text 21"/>
    <w:basedOn w:val="Normal"/>
    <w:qFormat/>
    <w:rsid w:val="009200c0"/>
    <w:pPr>
      <w:widowControl/>
      <w:tabs>
        <w:tab w:val="clear" w:pos="708"/>
        <w:tab w:val="left" w:pos="0" w:leader="none"/>
      </w:tabs>
      <w:suppressAutoHyphens w:val="true"/>
      <w:spacing w:lineRule="atLeast" w:line="100"/>
      <w:jc w:val="both"/>
    </w:pPr>
    <w:rPr>
      <w:rFonts w:ascii="Arial" w:hAnsi="Arial" w:cs="Arial"/>
      <w:b/>
      <w:szCs w:val="22"/>
      <w:lang w:eastAsia="ar-SA"/>
    </w:rPr>
  </w:style>
  <w:style w:type="paragraph" w:styleId="BalloonText">
    <w:name w:val="Balloon Text"/>
    <w:basedOn w:val="Normal"/>
    <w:link w:val="TextbublinyChar"/>
    <w:qFormat/>
    <w:rsid w:val="009200c0"/>
    <w:pPr/>
    <w:rPr>
      <w:rFonts w:ascii="Tahoma" w:hAnsi="Tahoma"/>
      <w:sz w:val="16"/>
      <w:szCs w:val="16"/>
    </w:rPr>
  </w:style>
  <w:style w:type="paragraph" w:styleId="Smlouva-slo1" w:customStyle="1">
    <w:name w:val="Smlouva-èíslo"/>
    <w:basedOn w:val="Normal"/>
    <w:qFormat/>
    <w:rsid w:val="007e4f4a"/>
    <w:pPr>
      <w:widowControl/>
      <w:spacing w:lineRule="atLeast" w:line="240" w:before="120" w:after="0"/>
      <w:jc w:val="both"/>
    </w:pPr>
    <w:rPr>
      <w:szCs w:val="20"/>
    </w:rPr>
  </w:style>
  <w:style w:type="paragraph" w:styleId="slovnvSOD" w:customStyle="1">
    <w:name w:val="číslování v SOD"/>
    <w:basedOn w:val="BodyText"/>
    <w:qFormat/>
    <w:rsid w:val="007e4f4a"/>
    <w:pPr>
      <w:widowControl w:val="false"/>
      <w:numPr>
        <w:ilvl w:val="0"/>
        <w:numId w:val="4"/>
      </w:numPr>
      <w:suppressAutoHyphens w:val="false"/>
      <w:spacing w:before="0" w:after="120"/>
    </w:pPr>
    <w:rPr>
      <w:rFonts w:ascii="Arial" w:hAnsi="Arial"/>
      <w:sz w:val="22"/>
      <w:lang w:eastAsia="cs-CZ"/>
    </w:rPr>
  </w:style>
  <w:style w:type="paragraph" w:styleId="Smlouva3" w:customStyle="1">
    <w:name w:val="Smlouva3"/>
    <w:basedOn w:val="Normal"/>
    <w:qFormat/>
    <w:rsid w:val="007e4f4a"/>
    <w:pPr>
      <w:spacing w:before="120" w:after="0"/>
      <w:jc w:val="both"/>
    </w:pPr>
    <w:rPr>
      <w:szCs w:val="20"/>
    </w:rPr>
  </w:style>
  <w:style w:type="paragraph" w:styleId="OdstavecSmlouvy" w:customStyle="1">
    <w:name w:val="OdstavecSmlouvy"/>
    <w:basedOn w:val="Normal"/>
    <w:qFormat/>
    <w:rsid w:val="007e4f4a"/>
    <w:pPr>
      <w:keepLines/>
      <w:widowControl/>
      <w:numPr>
        <w:ilvl w:val="0"/>
        <w:numId w:val="3"/>
      </w:numPr>
      <w:tabs>
        <w:tab w:val="clear" w:pos="708"/>
        <w:tab w:val="left" w:pos="426" w:leader="none"/>
        <w:tab w:val="left" w:pos="1701" w:leader="none"/>
      </w:tabs>
      <w:spacing w:before="0" w:after="120"/>
      <w:jc w:val="both"/>
    </w:pPr>
    <w:rPr>
      <w:szCs w:val="20"/>
    </w:rPr>
  </w:style>
  <w:style w:type="paragraph" w:styleId="CommentText">
    <w:name w:val="annotation text"/>
    <w:basedOn w:val="Normal"/>
    <w:link w:val="TextkomenteChar"/>
    <w:uiPriority w:val="99"/>
    <w:semiHidden/>
    <w:unhideWhenUsed/>
    <w:rsid w:val="00fa2b78"/>
    <w:pPr/>
    <w:rPr>
      <w:sz w:val="20"/>
      <w:szCs w:val="20"/>
    </w:rPr>
  </w:style>
  <w:style w:type="paragraph" w:styleId="annotationsubject">
    <w:name w:val="annotation subject"/>
    <w:basedOn w:val="CommentText"/>
    <w:next w:val="CommentText"/>
    <w:link w:val="PedmtkomenteChar"/>
    <w:uiPriority w:val="99"/>
    <w:semiHidden/>
    <w:unhideWhenUsed/>
    <w:qFormat/>
    <w:rsid w:val="00fa2b78"/>
    <w:pPr/>
    <w:rPr>
      <w:b/>
      <w:bCs/>
    </w:rPr>
  </w:style>
  <w:style w:type="paragraph" w:styleId="xl32" w:customStyle="1">
    <w:name w:val="xl32"/>
    <w:basedOn w:val="Normal"/>
    <w:qFormat/>
    <w:rsid w:val="00c1734d"/>
    <w:pPr>
      <w:widowControl/>
      <w:pBdr>
        <w:top w:val="single" w:sz="8" w:space="0" w:color="000000"/>
        <w:left w:val="single" w:sz="4" w:space="0" w:color="000000"/>
        <w:right w:val="single" w:sz="4" w:space="0" w:color="000000"/>
      </w:pBdr>
      <w:spacing w:beforeAutospacing="1" w:afterAutospacing="1"/>
      <w:ind w:left="0"/>
      <w:textAlignment w:val="center"/>
    </w:pPr>
    <w:rPr>
      <w:i w:val="false"/>
      <w:iCs w:val="false"/>
      <w:sz w:val="22"/>
      <w:szCs w:val="22"/>
    </w:rPr>
  </w:style>
  <w:style w:type="paragraph" w:styleId="Revision">
    <w:name w:val="Revision"/>
    <w:uiPriority w:val="99"/>
    <w:semiHidden/>
    <w:qFormat/>
    <w:rsid w:val="00d73dbf"/>
    <w:pPr>
      <w:widowControl/>
      <w:suppressAutoHyphens w:val="true"/>
      <w:bidi w:val="0"/>
      <w:spacing w:before="0" w:after="0"/>
      <w:jc w:val="left"/>
    </w:pPr>
    <w:rPr>
      <w:rFonts w:ascii="Times New Roman" w:hAnsi="Times New Roman" w:eastAsia="Times New Roman" w:cs="Times New Roman"/>
      <w:i/>
      <w:iCs/>
      <w:color w:val="auto"/>
      <w:kern w:val="0"/>
      <w:sz w:val="24"/>
      <w:szCs w:val="24"/>
      <w:lang w:val="cs-CZ" w:eastAsia="cs-CZ" w:bidi="ar-SA"/>
    </w:rPr>
  </w:style>
  <w:style w:type="paragraph" w:styleId="Obsahrmceuser">
    <w:name w:val="Obsah rámce (user)"/>
    <w:basedOn w:val="Normal"/>
    <w:qFormat/>
    <w:pPr/>
    <w:rPr/>
  </w:style>
  <w:style w:type="paragraph" w:styleId="Obsahrmce">
    <w:name w:val="Obsah rámce"/>
    <w:basedOn w:val="Normal"/>
    <w:qFormat/>
    <w:pPr/>
    <w:rPr/>
  </w:style>
  <w:style w:type="numbering" w:styleId="Bezseznamu" w:default="1">
    <w:name w:val="Bez seznamu"/>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uiPriority w:val="59"/>
    <w:rsid w:val="001a28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iv systému Office">
  <a:themeElements>
    <a:clrScheme name="Kancelář">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18EC2-0A67-4DB2-874D-BF058DAB9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Application>LibreOffice/26.2.1.2$Windows_X86_64 LibreOffice_project/620$Build-2</Application>
  <AppVersion>15.0000</AppVersion>
  <Pages>3</Pages>
  <Words>2103</Words>
  <Characters>12256</Characters>
  <CharactersWithSpaces>14383</CharactersWithSpaces>
  <Paragraphs>114</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2023-11-20T08:48:00Z</dcterms:created>
  <dc:creator>Barnasikova</dc:creator>
  <dc:description/>
  <dc:language>cs-CZ</dc:language>
  <cp:lastModifiedBy/>
  <cp:lastPrinted>2022-03-08T09:05:00Z</cp:lastPrinted>
  <dcterms:modified xsi:type="dcterms:W3CDTF">2026-05-17T15:33:27Z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file>